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DB4" w:rsidRPr="00A60BEB" w:rsidRDefault="008941F4" w:rsidP="00133DB4">
      <w:pPr>
        <w:jc w:val="center"/>
        <w:rPr>
          <w:rFonts w:cs="Times New Roman"/>
          <w:b/>
          <w:szCs w:val="24"/>
        </w:rPr>
      </w:pPr>
      <w:bookmarkStart w:id="0" w:name="_GoBack"/>
      <w:bookmarkEnd w:id="0"/>
      <w:r w:rsidRPr="00A60BEB">
        <w:rPr>
          <w:rFonts w:cs="Times New Roman"/>
          <w:b/>
          <w:szCs w:val="24"/>
        </w:rPr>
        <w:t>IN THE UNITED STATES DISTRICT COURT</w:t>
      </w:r>
    </w:p>
    <w:p w:rsidR="00133DB4" w:rsidRPr="00A60BEB" w:rsidRDefault="008941F4" w:rsidP="00133DB4">
      <w:pPr>
        <w:jc w:val="center"/>
        <w:rPr>
          <w:rFonts w:cs="Times New Roman"/>
          <w:b/>
          <w:szCs w:val="24"/>
        </w:rPr>
      </w:pPr>
      <w:r w:rsidRPr="00A60BEB">
        <w:rPr>
          <w:rFonts w:cs="Times New Roman"/>
          <w:b/>
          <w:szCs w:val="24"/>
        </w:rPr>
        <w:t>FOR THE DISTRICT OF MARYLAND</w:t>
      </w:r>
    </w:p>
    <w:p w:rsidR="00133DB4" w:rsidRDefault="008941F4" w:rsidP="00133DB4">
      <w:pPr>
        <w:jc w:val="center"/>
        <w:rPr>
          <w:rFonts w:cs="Times New Roman"/>
          <w:b/>
          <w:szCs w:val="24"/>
        </w:rPr>
      </w:pPr>
      <w:r w:rsidRPr="00A60BEB">
        <w:rPr>
          <w:rFonts w:cs="Times New Roman"/>
          <w:b/>
          <w:szCs w:val="24"/>
        </w:rPr>
        <w:t>(Northern Division)</w:t>
      </w:r>
    </w:p>
    <w:p w:rsidR="00133DB4" w:rsidRPr="00A60BEB" w:rsidRDefault="008941F4" w:rsidP="00133DB4">
      <w:pPr>
        <w:jc w:val="center"/>
        <w:rPr>
          <w:rFonts w:cs="Times New Roman"/>
          <w:b/>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265"/>
        <w:gridCol w:w="4045"/>
      </w:tblGrid>
      <w:tr w:rsidR="007F488B" w:rsidTr="00083F80">
        <w:tc>
          <w:tcPr>
            <w:tcW w:w="4950" w:type="dxa"/>
          </w:tcPr>
          <w:p w:rsidR="00133DB4" w:rsidRDefault="008941F4" w:rsidP="00083F80">
            <w:pPr>
              <w:ind w:left="-104"/>
              <w:rPr>
                <w:sz w:val="24"/>
                <w:szCs w:val="24"/>
              </w:rPr>
            </w:pPr>
          </w:p>
          <w:p w:rsidR="00133DB4" w:rsidRPr="0033292B" w:rsidRDefault="008941F4" w:rsidP="00083F80">
            <w:pPr>
              <w:ind w:left="-104"/>
              <w:rPr>
                <w:sz w:val="24"/>
                <w:szCs w:val="24"/>
              </w:rPr>
            </w:pPr>
          </w:p>
          <w:p w:rsidR="00133DB4" w:rsidRPr="0033292B" w:rsidRDefault="008941F4" w:rsidP="00083F80">
            <w:pPr>
              <w:ind w:left="-104"/>
              <w:rPr>
                <w:sz w:val="24"/>
                <w:szCs w:val="24"/>
              </w:rPr>
            </w:pPr>
            <w:r w:rsidRPr="0033292B">
              <w:rPr>
                <w:sz w:val="24"/>
                <w:szCs w:val="24"/>
              </w:rPr>
              <w:t xml:space="preserve">WHEELABRATOR BALTIMORE, L.P. et al., </w:t>
            </w:r>
          </w:p>
          <w:p w:rsidR="00133DB4" w:rsidRPr="0033292B" w:rsidRDefault="008941F4" w:rsidP="00083F80">
            <w:pPr>
              <w:ind w:left="-104"/>
              <w:rPr>
                <w:sz w:val="24"/>
                <w:szCs w:val="24"/>
              </w:rPr>
            </w:pPr>
          </w:p>
          <w:p w:rsidR="00133DB4" w:rsidRPr="0033292B" w:rsidRDefault="008941F4" w:rsidP="00083F80">
            <w:pPr>
              <w:ind w:left="1426" w:hanging="1530"/>
              <w:rPr>
                <w:sz w:val="24"/>
                <w:szCs w:val="24"/>
              </w:rPr>
            </w:pPr>
            <w:r w:rsidRPr="0033292B">
              <w:rPr>
                <w:sz w:val="24"/>
                <w:szCs w:val="24"/>
              </w:rPr>
              <w:tab/>
            </w:r>
            <w:r w:rsidRPr="0033292B">
              <w:rPr>
                <w:sz w:val="24"/>
                <w:szCs w:val="24"/>
              </w:rPr>
              <w:tab/>
            </w:r>
            <w:r w:rsidRPr="0033292B">
              <w:rPr>
                <w:i/>
                <w:sz w:val="24"/>
                <w:szCs w:val="24"/>
              </w:rPr>
              <w:t>Plaintiffs</w:t>
            </w:r>
            <w:r w:rsidRPr="0033292B">
              <w:rPr>
                <w:sz w:val="24"/>
                <w:szCs w:val="24"/>
              </w:rPr>
              <w:t>,</w:t>
            </w:r>
          </w:p>
          <w:p w:rsidR="00133DB4" w:rsidRPr="0033292B" w:rsidRDefault="008941F4" w:rsidP="00083F80">
            <w:pPr>
              <w:ind w:left="-104"/>
              <w:rPr>
                <w:sz w:val="24"/>
                <w:szCs w:val="24"/>
              </w:rPr>
            </w:pPr>
          </w:p>
          <w:p w:rsidR="00133DB4" w:rsidRPr="0033292B" w:rsidRDefault="008941F4" w:rsidP="00CF7A01">
            <w:pPr>
              <w:ind w:left="1782"/>
              <w:rPr>
                <w:sz w:val="24"/>
                <w:szCs w:val="24"/>
              </w:rPr>
            </w:pPr>
            <w:r>
              <w:rPr>
                <w:sz w:val="24"/>
                <w:szCs w:val="24"/>
              </w:rPr>
              <w:t>v.</w:t>
            </w:r>
          </w:p>
          <w:p w:rsidR="00133DB4" w:rsidRPr="0033292B" w:rsidRDefault="008941F4" w:rsidP="00083F80">
            <w:pPr>
              <w:ind w:left="-104"/>
              <w:rPr>
                <w:sz w:val="24"/>
                <w:szCs w:val="24"/>
              </w:rPr>
            </w:pPr>
          </w:p>
          <w:p w:rsidR="00133DB4" w:rsidRPr="0033292B" w:rsidRDefault="008941F4" w:rsidP="00083F80">
            <w:pPr>
              <w:ind w:left="-104"/>
              <w:rPr>
                <w:sz w:val="24"/>
                <w:szCs w:val="24"/>
              </w:rPr>
            </w:pPr>
            <w:r w:rsidRPr="0033292B">
              <w:rPr>
                <w:sz w:val="24"/>
                <w:szCs w:val="24"/>
              </w:rPr>
              <w:t>MAYOR AND CITY COUNCIL OF BALTIMORE,</w:t>
            </w:r>
          </w:p>
          <w:p w:rsidR="00133DB4" w:rsidRPr="0033292B" w:rsidRDefault="008941F4" w:rsidP="00083F80">
            <w:pPr>
              <w:ind w:left="-104"/>
              <w:rPr>
                <w:sz w:val="24"/>
                <w:szCs w:val="24"/>
              </w:rPr>
            </w:pPr>
          </w:p>
          <w:p w:rsidR="00133DB4" w:rsidRPr="0033292B" w:rsidRDefault="008941F4" w:rsidP="00083F80">
            <w:pPr>
              <w:ind w:left="-104"/>
              <w:rPr>
                <w:sz w:val="24"/>
                <w:szCs w:val="24"/>
              </w:rPr>
            </w:pPr>
          </w:p>
          <w:p w:rsidR="00133DB4" w:rsidRPr="0033292B" w:rsidRDefault="008941F4" w:rsidP="00083F80">
            <w:pPr>
              <w:ind w:left="1426"/>
              <w:rPr>
                <w:sz w:val="24"/>
                <w:szCs w:val="24"/>
              </w:rPr>
            </w:pPr>
            <w:r w:rsidRPr="0033292B">
              <w:rPr>
                <w:i/>
                <w:sz w:val="24"/>
                <w:szCs w:val="24"/>
              </w:rPr>
              <w:t>Defendants.</w:t>
            </w:r>
          </w:p>
          <w:p w:rsidR="00133DB4" w:rsidRPr="0033292B" w:rsidRDefault="008941F4" w:rsidP="00083F80">
            <w:pPr>
              <w:spacing w:line="276" w:lineRule="exact"/>
              <w:ind w:left="-104"/>
              <w:jc w:val="center"/>
              <w:textAlignment w:val="baseline"/>
              <w:rPr>
                <w:b/>
                <w:sz w:val="24"/>
                <w:szCs w:val="24"/>
              </w:rPr>
            </w:pPr>
          </w:p>
        </w:tc>
        <w:tc>
          <w:tcPr>
            <w:tcW w:w="265" w:type="dxa"/>
          </w:tcPr>
          <w:p w:rsidR="00133DB4" w:rsidRPr="0033292B" w:rsidRDefault="008941F4" w:rsidP="00083F80">
            <w:pPr>
              <w:spacing w:line="276" w:lineRule="exact"/>
              <w:jc w:val="center"/>
              <w:textAlignment w:val="baseline"/>
              <w:rPr>
                <w:b/>
                <w:sz w:val="24"/>
                <w:szCs w:val="24"/>
              </w:rPr>
            </w:pPr>
          </w:p>
        </w:tc>
        <w:tc>
          <w:tcPr>
            <w:tcW w:w="4045" w:type="dxa"/>
          </w:tcPr>
          <w:p w:rsidR="00133DB4" w:rsidRPr="0033292B" w:rsidRDefault="008941F4" w:rsidP="00083F80">
            <w:pPr>
              <w:ind w:left="236" w:hanging="4"/>
              <w:rPr>
                <w:sz w:val="24"/>
                <w:szCs w:val="24"/>
              </w:rPr>
            </w:pPr>
          </w:p>
          <w:p w:rsidR="00133DB4" w:rsidRPr="0033292B" w:rsidRDefault="008941F4" w:rsidP="00083F80">
            <w:pPr>
              <w:ind w:left="236" w:hanging="4"/>
              <w:rPr>
                <w:sz w:val="24"/>
                <w:szCs w:val="24"/>
              </w:rPr>
            </w:pPr>
          </w:p>
          <w:p w:rsidR="00133DB4" w:rsidRPr="0033292B" w:rsidRDefault="008941F4" w:rsidP="00083F80">
            <w:pPr>
              <w:ind w:left="236" w:hanging="4"/>
              <w:rPr>
                <w:sz w:val="24"/>
                <w:szCs w:val="24"/>
              </w:rPr>
            </w:pPr>
          </w:p>
          <w:p w:rsidR="00133DB4" w:rsidRPr="0033292B" w:rsidRDefault="008941F4" w:rsidP="00083F80">
            <w:pPr>
              <w:ind w:left="236" w:hanging="4"/>
              <w:rPr>
                <w:sz w:val="24"/>
                <w:szCs w:val="24"/>
              </w:rPr>
            </w:pPr>
          </w:p>
          <w:p w:rsidR="00133DB4" w:rsidRPr="0033292B" w:rsidRDefault="008941F4" w:rsidP="00083F80">
            <w:pPr>
              <w:ind w:left="236" w:hanging="4"/>
              <w:rPr>
                <w:sz w:val="24"/>
                <w:szCs w:val="24"/>
              </w:rPr>
            </w:pPr>
          </w:p>
          <w:p w:rsidR="00133DB4" w:rsidRPr="0033292B" w:rsidRDefault="008941F4" w:rsidP="00083F80">
            <w:pPr>
              <w:rPr>
                <w:sz w:val="24"/>
                <w:szCs w:val="24"/>
              </w:rPr>
            </w:pPr>
          </w:p>
          <w:p w:rsidR="00133DB4" w:rsidRPr="0033292B" w:rsidRDefault="008941F4" w:rsidP="00083F80">
            <w:pPr>
              <w:rPr>
                <w:sz w:val="24"/>
                <w:szCs w:val="24"/>
              </w:rPr>
            </w:pPr>
            <w:r w:rsidRPr="0033292B">
              <w:rPr>
                <w:sz w:val="24"/>
                <w:szCs w:val="24"/>
              </w:rPr>
              <w:t>Civil Action No. 1:19-cv-01264</w:t>
            </w:r>
          </w:p>
        </w:tc>
      </w:tr>
      <w:tr w:rsidR="007F488B" w:rsidTr="00083F80">
        <w:tc>
          <w:tcPr>
            <w:tcW w:w="4950" w:type="dxa"/>
          </w:tcPr>
          <w:p w:rsidR="00CF7A01" w:rsidRDefault="008941F4" w:rsidP="00083F80">
            <w:pPr>
              <w:ind w:left="-104"/>
              <w:rPr>
                <w:szCs w:val="24"/>
              </w:rPr>
            </w:pPr>
          </w:p>
        </w:tc>
        <w:tc>
          <w:tcPr>
            <w:tcW w:w="265" w:type="dxa"/>
          </w:tcPr>
          <w:p w:rsidR="00CF7A01" w:rsidRPr="0033292B" w:rsidRDefault="008941F4" w:rsidP="00083F80">
            <w:pPr>
              <w:spacing w:line="276" w:lineRule="exact"/>
              <w:jc w:val="center"/>
              <w:textAlignment w:val="baseline"/>
              <w:rPr>
                <w:b/>
                <w:szCs w:val="24"/>
              </w:rPr>
            </w:pPr>
          </w:p>
        </w:tc>
        <w:tc>
          <w:tcPr>
            <w:tcW w:w="4045" w:type="dxa"/>
          </w:tcPr>
          <w:p w:rsidR="00CF7A01" w:rsidRPr="0033292B" w:rsidRDefault="008941F4" w:rsidP="00083F80">
            <w:pPr>
              <w:ind w:left="236" w:hanging="4"/>
              <w:rPr>
                <w:szCs w:val="24"/>
              </w:rPr>
            </w:pPr>
          </w:p>
        </w:tc>
      </w:tr>
    </w:tbl>
    <w:p w:rsidR="00EC40C2" w:rsidRPr="00EC40C2" w:rsidRDefault="008941F4" w:rsidP="00EC40C2">
      <w:pPr>
        <w:jc w:val="center"/>
        <w:rPr>
          <w:rFonts w:cs="Times New Roman"/>
          <w:b/>
          <w:szCs w:val="24"/>
        </w:rPr>
      </w:pPr>
      <w:r w:rsidRPr="00EC40C2">
        <w:rPr>
          <w:rFonts w:cs="Times New Roman"/>
          <w:b/>
          <w:szCs w:val="24"/>
        </w:rPr>
        <w:t xml:space="preserve">Brief </w:t>
      </w:r>
      <w:r w:rsidRPr="00EC40C2">
        <w:rPr>
          <w:rFonts w:cs="Times New Roman"/>
          <w:b/>
          <w:szCs w:val="24"/>
        </w:rPr>
        <w:t>Amici Curiae of the</w:t>
      </w:r>
    </w:p>
    <w:p w:rsidR="00EC40C2" w:rsidRPr="00EC40C2" w:rsidRDefault="008941F4" w:rsidP="00EC40C2">
      <w:pPr>
        <w:jc w:val="center"/>
        <w:rPr>
          <w:rFonts w:cs="Times New Roman"/>
          <w:b/>
          <w:szCs w:val="24"/>
        </w:rPr>
      </w:pPr>
      <w:r w:rsidRPr="00EC40C2">
        <w:rPr>
          <w:rFonts w:cs="Times New Roman"/>
          <w:b/>
          <w:szCs w:val="24"/>
        </w:rPr>
        <w:t>LOCAL GOVERNMENT COALITION FOR RENEWABLE ENERGY</w:t>
      </w:r>
    </w:p>
    <w:p w:rsidR="00EC40C2" w:rsidRPr="00EC40C2" w:rsidRDefault="008941F4" w:rsidP="00EC40C2">
      <w:pPr>
        <w:jc w:val="center"/>
        <w:rPr>
          <w:rFonts w:cs="Times New Roman"/>
          <w:b/>
          <w:szCs w:val="24"/>
        </w:rPr>
      </w:pPr>
      <w:r w:rsidRPr="00EC40C2">
        <w:rPr>
          <w:rFonts w:cs="Times New Roman"/>
          <w:b/>
          <w:szCs w:val="24"/>
        </w:rPr>
        <w:t>in support of</w:t>
      </w:r>
    </w:p>
    <w:p w:rsidR="00EC40C2" w:rsidRPr="00EC40C2" w:rsidRDefault="008941F4" w:rsidP="00EC40C2">
      <w:pPr>
        <w:jc w:val="center"/>
        <w:rPr>
          <w:rFonts w:cs="Times New Roman"/>
          <w:b/>
          <w:szCs w:val="24"/>
        </w:rPr>
      </w:pPr>
      <w:r w:rsidRPr="00EC40C2">
        <w:rPr>
          <w:rFonts w:cs="Times New Roman"/>
          <w:b/>
          <w:szCs w:val="24"/>
          <w:u w:val="single"/>
        </w:rPr>
        <w:t>PLAINTIFFS’ MOTION FOR SUMMARY JUDGMENT</w:t>
      </w:r>
    </w:p>
    <w:p w:rsidR="00EC40C2" w:rsidRPr="00F328EC" w:rsidRDefault="008941F4" w:rsidP="00133DB4">
      <w:pPr>
        <w:jc w:val="center"/>
        <w:rPr>
          <w:rFonts w:cs="Times New Roman"/>
          <w:szCs w:val="24"/>
        </w:rPr>
      </w:pPr>
    </w:p>
    <w:p w:rsidR="00EC40C2" w:rsidRPr="00F328EC" w:rsidRDefault="008941F4" w:rsidP="00607267">
      <w:pPr>
        <w:jc w:val="center"/>
        <w:rPr>
          <w:rFonts w:cs="Times New Roman"/>
          <w:szCs w:val="24"/>
        </w:rPr>
      </w:pPr>
    </w:p>
    <w:p w:rsidR="00404F94" w:rsidRPr="00F328EC" w:rsidRDefault="008941F4" w:rsidP="00607267">
      <w:pPr>
        <w:jc w:val="center"/>
        <w:rPr>
          <w:rFonts w:cs="Times New Roman"/>
          <w:szCs w:val="24"/>
        </w:rPr>
      </w:pPr>
    </w:p>
    <w:p w:rsidR="00404F94" w:rsidRPr="00F328EC" w:rsidRDefault="008941F4" w:rsidP="00607267">
      <w:pPr>
        <w:jc w:val="center"/>
        <w:rPr>
          <w:rFonts w:cs="Times New Roman"/>
          <w:szCs w:val="24"/>
        </w:rPr>
      </w:pPr>
    </w:p>
    <w:p w:rsidR="00404F94" w:rsidRPr="00F328EC" w:rsidRDefault="008941F4" w:rsidP="00607267">
      <w:pPr>
        <w:jc w:val="center"/>
        <w:rPr>
          <w:rFonts w:cs="Times New Roman"/>
          <w:szCs w:val="24"/>
        </w:rPr>
      </w:pPr>
    </w:p>
    <w:p w:rsidR="00404F94" w:rsidRPr="00F328EC" w:rsidRDefault="008941F4" w:rsidP="00607267">
      <w:pPr>
        <w:jc w:val="center"/>
        <w:rPr>
          <w:rFonts w:cs="Times New Roman"/>
          <w:szCs w:val="24"/>
        </w:rPr>
      </w:pPr>
    </w:p>
    <w:p w:rsidR="00404F94" w:rsidRPr="00F328EC" w:rsidRDefault="008941F4" w:rsidP="00607267">
      <w:pPr>
        <w:jc w:val="center"/>
        <w:rPr>
          <w:rFonts w:cs="Times New Roman"/>
          <w:szCs w:val="24"/>
        </w:rPr>
      </w:pPr>
    </w:p>
    <w:p w:rsidR="00404F94" w:rsidRPr="00F328EC" w:rsidRDefault="008941F4" w:rsidP="00607267">
      <w:pPr>
        <w:jc w:val="center"/>
        <w:rPr>
          <w:rFonts w:cs="Times New Roman"/>
          <w:szCs w:val="24"/>
        </w:rPr>
      </w:pPr>
    </w:p>
    <w:p w:rsidR="00404F94" w:rsidRPr="00CF7A01" w:rsidRDefault="008941F4" w:rsidP="00404F94">
      <w:pPr>
        <w:ind w:left="4680"/>
        <w:jc w:val="both"/>
        <w:rPr>
          <w:szCs w:val="24"/>
        </w:rPr>
      </w:pPr>
      <w:r w:rsidRPr="00CF7A01">
        <w:rPr>
          <w:szCs w:val="24"/>
        </w:rPr>
        <w:t>Scott M. DuBoff</w:t>
      </w:r>
    </w:p>
    <w:p w:rsidR="00404F94" w:rsidRPr="00CF7A01" w:rsidRDefault="008941F4" w:rsidP="00404F94">
      <w:pPr>
        <w:ind w:left="4680"/>
        <w:jc w:val="both"/>
        <w:rPr>
          <w:szCs w:val="24"/>
        </w:rPr>
      </w:pPr>
      <w:r w:rsidRPr="00CF7A01">
        <w:rPr>
          <w:szCs w:val="24"/>
        </w:rPr>
        <w:t>Benjamin J. Lambiotte</w:t>
      </w:r>
    </w:p>
    <w:p w:rsidR="00404F94" w:rsidRPr="00CF7A01" w:rsidRDefault="008941F4" w:rsidP="00404F94">
      <w:pPr>
        <w:ind w:left="4680"/>
        <w:jc w:val="both"/>
        <w:rPr>
          <w:szCs w:val="24"/>
        </w:rPr>
      </w:pPr>
      <w:r w:rsidRPr="00CF7A01">
        <w:rPr>
          <w:szCs w:val="24"/>
        </w:rPr>
        <w:t>Garvey Schubert Barer, P.C.</w:t>
      </w:r>
    </w:p>
    <w:p w:rsidR="00404F94" w:rsidRPr="00CF7A01" w:rsidRDefault="008941F4" w:rsidP="00404F94">
      <w:pPr>
        <w:ind w:left="4680"/>
        <w:jc w:val="both"/>
        <w:rPr>
          <w:szCs w:val="24"/>
        </w:rPr>
      </w:pPr>
      <w:r w:rsidRPr="00CF7A01">
        <w:rPr>
          <w:szCs w:val="24"/>
        </w:rPr>
        <w:t>1000 Potomac St., NW</w:t>
      </w:r>
      <w:r w:rsidRPr="00CF7A01">
        <w:rPr>
          <w:szCs w:val="24"/>
        </w:rPr>
        <w:t>, Suite 200</w:t>
      </w:r>
    </w:p>
    <w:p w:rsidR="00404F94" w:rsidRPr="00CF7A01" w:rsidRDefault="008941F4" w:rsidP="00404F94">
      <w:pPr>
        <w:ind w:left="4680"/>
        <w:jc w:val="both"/>
        <w:rPr>
          <w:szCs w:val="24"/>
        </w:rPr>
      </w:pPr>
      <w:r w:rsidRPr="00CF7A01">
        <w:rPr>
          <w:szCs w:val="24"/>
        </w:rPr>
        <w:t>Washington, D.C. 20007</w:t>
      </w:r>
    </w:p>
    <w:p w:rsidR="00404F94" w:rsidRPr="00CF7A01" w:rsidRDefault="008941F4" w:rsidP="00404F94">
      <w:pPr>
        <w:ind w:left="4680"/>
        <w:jc w:val="both"/>
        <w:rPr>
          <w:szCs w:val="24"/>
        </w:rPr>
      </w:pPr>
      <w:r w:rsidRPr="00CF7A01">
        <w:rPr>
          <w:szCs w:val="24"/>
        </w:rPr>
        <w:t>202-965-7880</w:t>
      </w:r>
    </w:p>
    <w:p w:rsidR="00404F94" w:rsidRPr="00CF7A01" w:rsidRDefault="008941F4" w:rsidP="00404F94">
      <w:pPr>
        <w:ind w:left="4680"/>
        <w:jc w:val="both"/>
        <w:rPr>
          <w:i/>
          <w:szCs w:val="24"/>
        </w:rPr>
      </w:pPr>
      <w:r w:rsidRPr="00CF7A01">
        <w:rPr>
          <w:i/>
          <w:szCs w:val="24"/>
        </w:rPr>
        <w:t>Counsel for Amici Curiae</w:t>
      </w:r>
    </w:p>
    <w:p w:rsidR="00404F94" w:rsidRDefault="008941F4" w:rsidP="00404F94">
      <w:pPr>
        <w:rPr>
          <w:szCs w:val="24"/>
        </w:rPr>
      </w:pPr>
      <w:r w:rsidRPr="00CF7A01">
        <w:rPr>
          <w:szCs w:val="24"/>
        </w:rPr>
        <w:t>August 30, 2019</w:t>
      </w:r>
    </w:p>
    <w:p w:rsidR="003B7C76" w:rsidRDefault="008941F4" w:rsidP="00404F94">
      <w:pPr>
        <w:rPr>
          <w:szCs w:val="24"/>
        </w:rPr>
      </w:pPr>
    </w:p>
    <w:p w:rsidR="003B7C76" w:rsidRDefault="008941F4" w:rsidP="00404F94">
      <w:pPr>
        <w:rPr>
          <w:szCs w:val="24"/>
        </w:rPr>
      </w:pPr>
    </w:p>
    <w:p w:rsidR="003B7C76" w:rsidRPr="00CF7A01" w:rsidRDefault="008941F4" w:rsidP="00404F94">
      <w:pPr>
        <w:rPr>
          <w:szCs w:val="24"/>
        </w:rPr>
        <w:sectPr w:rsidR="003B7C76" w:rsidRPr="00CF7A01">
          <w:footerReference w:type="even" r:id="rId8"/>
          <w:footerReference w:type="default" r:id="rId9"/>
          <w:pgSz w:w="12240" w:h="15840" w:code="1"/>
          <w:pgMar w:top="1440" w:right="1440" w:bottom="1440" w:left="1440" w:header="720" w:footer="720" w:gutter="0"/>
          <w:pgNumType w:fmt="lowerRoman" w:start="1"/>
          <w:cols w:space="720"/>
          <w:titlePg/>
          <w:docGrid w:linePitch="360"/>
        </w:sectPr>
      </w:pPr>
    </w:p>
    <w:p w:rsidR="00EC40C2" w:rsidRDefault="008941F4" w:rsidP="00607267">
      <w:pPr>
        <w:tabs>
          <w:tab w:val="left" w:pos="5760"/>
        </w:tabs>
        <w:jc w:val="center"/>
        <w:rPr>
          <w:rFonts w:cs="Times New Roman"/>
          <w:b/>
          <w:szCs w:val="24"/>
        </w:rPr>
      </w:pPr>
    </w:p>
    <w:p w:rsidR="00133DB4" w:rsidRDefault="008941F4" w:rsidP="00404F94">
      <w:pPr>
        <w:ind w:firstLine="720"/>
        <w:jc w:val="center"/>
        <w:rPr>
          <w:rFonts w:cs="Times New Roman"/>
          <w:b/>
          <w:szCs w:val="24"/>
        </w:rPr>
      </w:pPr>
      <w:r>
        <w:rPr>
          <w:rFonts w:cs="Times New Roman"/>
          <w:b/>
          <w:szCs w:val="24"/>
        </w:rPr>
        <w:t>TABLE OF CONTENTS</w:t>
      </w:r>
    </w:p>
    <w:p w:rsidR="00404F94" w:rsidRPr="00ED1FAB" w:rsidRDefault="008941F4" w:rsidP="00133DB4">
      <w:pPr>
        <w:jc w:val="center"/>
        <w:rPr>
          <w:rFonts w:cs="Times New Roman"/>
          <w:szCs w:val="24"/>
        </w:rPr>
      </w:pPr>
      <w:r w:rsidRPr="00ED1FAB">
        <w:rPr>
          <w:rFonts w:cs="Times New Roman"/>
          <w:szCs w:val="24"/>
        </w:rPr>
        <w:t>[to be completed]</w:t>
      </w:r>
    </w:p>
    <w:p w:rsidR="00404F94" w:rsidRDefault="008941F4" w:rsidP="00133DB4">
      <w:pPr>
        <w:jc w:val="center"/>
        <w:rPr>
          <w:rFonts w:cs="Times New Roman"/>
          <w:b/>
          <w:szCs w:val="24"/>
        </w:rPr>
      </w:pPr>
    </w:p>
    <w:p w:rsidR="00404F94" w:rsidRDefault="008941F4" w:rsidP="00133DB4">
      <w:pPr>
        <w:jc w:val="center"/>
        <w:rPr>
          <w:rFonts w:cs="Times New Roman"/>
          <w:b/>
          <w:szCs w:val="24"/>
        </w:rPr>
      </w:pPr>
    </w:p>
    <w:p w:rsidR="00F3278B" w:rsidRDefault="008941F4" w:rsidP="00F328EC">
      <w:pPr>
        <w:ind w:left="450"/>
        <w:jc w:val="center"/>
        <w:rPr>
          <w:rFonts w:cs="Times New Roman"/>
          <w:b/>
          <w:szCs w:val="24"/>
        </w:rPr>
      </w:pPr>
      <w:r>
        <w:rPr>
          <w:rFonts w:cs="Times New Roman"/>
          <w:b/>
          <w:szCs w:val="24"/>
        </w:rPr>
        <w:t>TABLE OF AUTHORITIES</w:t>
      </w:r>
    </w:p>
    <w:p w:rsidR="00ED1FAB" w:rsidRDefault="008941F4" w:rsidP="00F328EC">
      <w:pPr>
        <w:ind w:left="450"/>
        <w:jc w:val="center"/>
        <w:rPr>
          <w:rFonts w:cs="Times New Roman"/>
          <w:b/>
          <w:szCs w:val="24"/>
        </w:rPr>
      </w:pPr>
      <w:r>
        <w:rPr>
          <w:rFonts w:cs="Times New Roman"/>
          <w:b/>
          <w:szCs w:val="24"/>
        </w:rPr>
        <w:t>[</w:t>
      </w:r>
      <w:r w:rsidRPr="00ED1FAB">
        <w:rPr>
          <w:rFonts w:cs="Times New Roman"/>
          <w:szCs w:val="24"/>
        </w:rPr>
        <w:t>to be completed</w:t>
      </w:r>
      <w:r>
        <w:rPr>
          <w:rFonts w:cs="Times New Roman"/>
          <w:b/>
          <w:szCs w:val="24"/>
        </w:rPr>
        <w:t>]</w:t>
      </w:r>
    </w:p>
    <w:p w:rsidR="00133DB4" w:rsidRDefault="008941F4" w:rsidP="00F3278B">
      <w:pPr>
        <w:rPr>
          <w:rFonts w:cs="Times New Roman"/>
          <w:szCs w:val="24"/>
        </w:rPr>
      </w:pPr>
    </w:p>
    <w:p w:rsidR="00EC40C2" w:rsidRDefault="008941F4" w:rsidP="00F3278B">
      <w:pPr>
        <w:rPr>
          <w:rFonts w:cs="Times New Roman"/>
          <w:szCs w:val="24"/>
        </w:rPr>
      </w:pPr>
    </w:p>
    <w:p w:rsidR="00EC40C2" w:rsidRDefault="008941F4" w:rsidP="00F3278B">
      <w:pPr>
        <w:rPr>
          <w:rFonts w:cs="Times New Roman"/>
          <w:szCs w:val="24"/>
        </w:rPr>
      </w:pPr>
    </w:p>
    <w:p w:rsidR="00EC40C2" w:rsidRDefault="008941F4" w:rsidP="00F3278B">
      <w:pPr>
        <w:rPr>
          <w:rFonts w:cs="Times New Roman"/>
          <w:szCs w:val="24"/>
        </w:rPr>
      </w:pPr>
    </w:p>
    <w:p w:rsidR="00EC40C2" w:rsidRDefault="008941F4" w:rsidP="00F3278B">
      <w:pPr>
        <w:rPr>
          <w:rFonts w:cs="Times New Roman"/>
          <w:szCs w:val="24"/>
        </w:rPr>
      </w:pPr>
    </w:p>
    <w:p w:rsidR="00EC40C2" w:rsidRDefault="008941F4" w:rsidP="00F3278B">
      <w:pPr>
        <w:rPr>
          <w:rFonts w:cs="Times New Roman"/>
          <w:szCs w:val="24"/>
        </w:rPr>
      </w:pPr>
    </w:p>
    <w:p w:rsidR="00EC40C2" w:rsidRDefault="008941F4" w:rsidP="00F3278B">
      <w:pPr>
        <w:rPr>
          <w:rFonts w:cs="Times New Roman"/>
          <w:szCs w:val="24"/>
        </w:rPr>
      </w:pPr>
    </w:p>
    <w:p w:rsidR="00EC40C2" w:rsidRDefault="008941F4" w:rsidP="00F3278B">
      <w:pPr>
        <w:rPr>
          <w:rFonts w:cs="Times New Roman"/>
          <w:szCs w:val="24"/>
        </w:rPr>
      </w:pPr>
    </w:p>
    <w:p w:rsidR="00BC3364" w:rsidRPr="00F3278B" w:rsidRDefault="008941F4" w:rsidP="00F3278B">
      <w:pPr>
        <w:rPr>
          <w:rFonts w:cs="Times New Roman"/>
          <w:szCs w:val="24"/>
        </w:rPr>
      </w:pPr>
    </w:p>
    <w:p w:rsidR="00133DB4" w:rsidRDefault="008941F4" w:rsidP="00133DB4">
      <w:pPr>
        <w:jc w:val="center"/>
        <w:rPr>
          <w:rFonts w:cs="Times New Roman"/>
          <w:b/>
          <w:szCs w:val="24"/>
        </w:rPr>
        <w:sectPr w:rsidR="00133DB4" w:rsidSect="002A4ED0">
          <w:footerReference w:type="default" r:id="rId10"/>
          <w:pgSz w:w="12240" w:h="15840"/>
          <w:pgMar w:top="1440" w:right="1440" w:bottom="1440" w:left="1440" w:header="720" w:footer="720" w:gutter="0"/>
          <w:pgNumType w:fmt="lowerRoman" w:start="1"/>
          <w:cols w:space="720"/>
          <w:docGrid w:linePitch="360"/>
        </w:sectPr>
      </w:pPr>
    </w:p>
    <w:p w:rsidR="009C3601" w:rsidRDefault="008941F4" w:rsidP="00133DB4">
      <w:pPr>
        <w:jc w:val="center"/>
        <w:rPr>
          <w:rFonts w:cs="Times New Roman"/>
          <w:b/>
          <w:szCs w:val="24"/>
        </w:rPr>
      </w:pPr>
      <w:r w:rsidRPr="00A60BEB">
        <w:rPr>
          <w:rFonts w:cs="Times New Roman"/>
          <w:b/>
          <w:szCs w:val="24"/>
        </w:rPr>
        <w:lastRenderedPageBreak/>
        <w:t>IN THE UNITED STATES DISTRICT COURT</w:t>
      </w:r>
    </w:p>
    <w:p w:rsidR="00A60BEB" w:rsidRPr="00A60BEB" w:rsidRDefault="008941F4" w:rsidP="00A60BEB">
      <w:pPr>
        <w:jc w:val="center"/>
        <w:rPr>
          <w:rFonts w:cs="Times New Roman"/>
          <w:b/>
          <w:szCs w:val="24"/>
        </w:rPr>
      </w:pPr>
      <w:r w:rsidRPr="00A60BEB">
        <w:rPr>
          <w:rFonts w:cs="Times New Roman"/>
          <w:b/>
          <w:szCs w:val="24"/>
        </w:rPr>
        <w:t>FOR THE DISTRICT OF MARYLAND</w:t>
      </w:r>
    </w:p>
    <w:p w:rsidR="00A60BEB" w:rsidRDefault="008941F4" w:rsidP="00A60BEB">
      <w:pPr>
        <w:jc w:val="center"/>
        <w:rPr>
          <w:rFonts w:cs="Times New Roman"/>
          <w:b/>
          <w:szCs w:val="24"/>
        </w:rPr>
      </w:pPr>
      <w:r w:rsidRPr="00A60BEB">
        <w:rPr>
          <w:rFonts w:cs="Times New Roman"/>
          <w:b/>
          <w:szCs w:val="24"/>
        </w:rPr>
        <w:t>(Northern Division)</w:t>
      </w:r>
    </w:p>
    <w:p w:rsidR="00F42E4E" w:rsidRPr="00A60BEB" w:rsidRDefault="008941F4" w:rsidP="00A60BEB">
      <w:pPr>
        <w:jc w:val="center"/>
        <w:rPr>
          <w:rFonts w:cs="Times New Roman"/>
          <w:b/>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265"/>
        <w:gridCol w:w="4045"/>
      </w:tblGrid>
      <w:tr w:rsidR="007F488B" w:rsidTr="00F42E4E">
        <w:tc>
          <w:tcPr>
            <w:tcW w:w="4950" w:type="dxa"/>
          </w:tcPr>
          <w:p w:rsidR="00F42E4E" w:rsidRDefault="008941F4" w:rsidP="00083F80">
            <w:pPr>
              <w:ind w:left="-104"/>
              <w:rPr>
                <w:sz w:val="24"/>
                <w:szCs w:val="24"/>
              </w:rPr>
            </w:pPr>
          </w:p>
          <w:p w:rsidR="00F42E4E" w:rsidRPr="0033292B" w:rsidRDefault="008941F4" w:rsidP="00083F80">
            <w:pPr>
              <w:ind w:left="-104"/>
              <w:rPr>
                <w:sz w:val="24"/>
                <w:szCs w:val="24"/>
              </w:rPr>
            </w:pPr>
          </w:p>
          <w:p w:rsidR="00F42E4E" w:rsidRPr="0033292B" w:rsidRDefault="008941F4" w:rsidP="00083F80">
            <w:pPr>
              <w:ind w:left="-104"/>
              <w:rPr>
                <w:sz w:val="24"/>
                <w:szCs w:val="24"/>
              </w:rPr>
            </w:pPr>
            <w:r w:rsidRPr="0033292B">
              <w:rPr>
                <w:sz w:val="24"/>
                <w:szCs w:val="24"/>
              </w:rPr>
              <w:t xml:space="preserve">WHEELABRATOR BALTIMORE, L.P. et al., </w:t>
            </w:r>
          </w:p>
          <w:p w:rsidR="00F42E4E" w:rsidRPr="0033292B" w:rsidRDefault="008941F4" w:rsidP="00083F80">
            <w:pPr>
              <w:ind w:left="-104"/>
              <w:rPr>
                <w:sz w:val="24"/>
                <w:szCs w:val="24"/>
              </w:rPr>
            </w:pPr>
          </w:p>
          <w:p w:rsidR="00F42E4E" w:rsidRPr="0033292B" w:rsidRDefault="008941F4" w:rsidP="00083F80">
            <w:pPr>
              <w:ind w:left="1426" w:hanging="1530"/>
              <w:rPr>
                <w:sz w:val="24"/>
                <w:szCs w:val="24"/>
              </w:rPr>
            </w:pPr>
            <w:r w:rsidRPr="0033292B">
              <w:rPr>
                <w:sz w:val="24"/>
                <w:szCs w:val="24"/>
              </w:rPr>
              <w:tab/>
            </w:r>
            <w:r w:rsidRPr="0033292B">
              <w:rPr>
                <w:sz w:val="24"/>
                <w:szCs w:val="24"/>
              </w:rPr>
              <w:tab/>
            </w:r>
            <w:r w:rsidRPr="0033292B">
              <w:rPr>
                <w:i/>
                <w:sz w:val="24"/>
                <w:szCs w:val="24"/>
              </w:rPr>
              <w:t>Plaintiffs</w:t>
            </w:r>
            <w:r w:rsidRPr="0033292B">
              <w:rPr>
                <w:sz w:val="24"/>
                <w:szCs w:val="24"/>
              </w:rPr>
              <w:t>,</w:t>
            </w:r>
          </w:p>
          <w:p w:rsidR="00F42E4E" w:rsidRPr="0033292B" w:rsidRDefault="008941F4" w:rsidP="00083F80">
            <w:pPr>
              <w:ind w:left="-104"/>
              <w:rPr>
                <w:sz w:val="24"/>
                <w:szCs w:val="24"/>
              </w:rPr>
            </w:pPr>
          </w:p>
          <w:p w:rsidR="00F42E4E" w:rsidRPr="0033292B" w:rsidRDefault="008941F4" w:rsidP="00F328EC">
            <w:pPr>
              <w:ind w:left="1422"/>
              <w:rPr>
                <w:sz w:val="24"/>
                <w:szCs w:val="24"/>
              </w:rPr>
            </w:pPr>
            <w:r w:rsidRPr="0033292B">
              <w:rPr>
                <w:sz w:val="24"/>
                <w:szCs w:val="24"/>
              </w:rPr>
              <w:t>v.</w:t>
            </w:r>
          </w:p>
          <w:p w:rsidR="00F42E4E" w:rsidRPr="0033292B" w:rsidRDefault="008941F4" w:rsidP="00083F80">
            <w:pPr>
              <w:ind w:left="-104"/>
              <w:rPr>
                <w:sz w:val="24"/>
                <w:szCs w:val="24"/>
              </w:rPr>
            </w:pPr>
          </w:p>
          <w:p w:rsidR="00F42E4E" w:rsidRPr="0033292B" w:rsidRDefault="008941F4" w:rsidP="00083F80">
            <w:pPr>
              <w:ind w:left="-104"/>
              <w:rPr>
                <w:sz w:val="24"/>
                <w:szCs w:val="24"/>
              </w:rPr>
            </w:pPr>
            <w:r w:rsidRPr="0033292B">
              <w:rPr>
                <w:sz w:val="24"/>
                <w:szCs w:val="24"/>
              </w:rPr>
              <w:t>MAYOR AND CITY COUNCIL OF BALTIMORE,</w:t>
            </w:r>
          </w:p>
          <w:p w:rsidR="00F42E4E" w:rsidRPr="0033292B" w:rsidRDefault="008941F4" w:rsidP="00083F80">
            <w:pPr>
              <w:ind w:left="-104"/>
              <w:rPr>
                <w:sz w:val="24"/>
                <w:szCs w:val="24"/>
              </w:rPr>
            </w:pPr>
          </w:p>
          <w:p w:rsidR="00F42E4E" w:rsidRPr="0033292B" w:rsidRDefault="008941F4" w:rsidP="00083F80">
            <w:pPr>
              <w:ind w:left="-104"/>
              <w:rPr>
                <w:sz w:val="24"/>
                <w:szCs w:val="24"/>
              </w:rPr>
            </w:pPr>
          </w:p>
          <w:p w:rsidR="00F42E4E" w:rsidRPr="0033292B" w:rsidRDefault="008941F4" w:rsidP="00083F80">
            <w:pPr>
              <w:ind w:left="1426"/>
              <w:rPr>
                <w:sz w:val="24"/>
                <w:szCs w:val="24"/>
              </w:rPr>
            </w:pPr>
            <w:r w:rsidRPr="0033292B">
              <w:rPr>
                <w:i/>
                <w:sz w:val="24"/>
                <w:szCs w:val="24"/>
              </w:rPr>
              <w:t>Defendants.</w:t>
            </w:r>
          </w:p>
          <w:p w:rsidR="00F42E4E" w:rsidRPr="0033292B" w:rsidRDefault="008941F4" w:rsidP="00083F80">
            <w:pPr>
              <w:spacing w:line="276" w:lineRule="exact"/>
              <w:ind w:left="-104"/>
              <w:jc w:val="center"/>
              <w:textAlignment w:val="baseline"/>
              <w:rPr>
                <w:b/>
                <w:sz w:val="24"/>
                <w:szCs w:val="24"/>
              </w:rPr>
            </w:pPr>
          </w:p>
        </w:tc>
        <w:tc>
          <w:tcPr>
            <w:tcW w:w="265" w:type="dxa"/>
          </w:tcPr>
          <w:p w:rsidR="00F42E4E" w:rsidRPr="0033292B" w:rsidRDefault="008941F4" w:rsidP="00083F80">
            <w:pPr>
              <w:spacing w:line="276" w:lineRule="exact"/>
              <w:jc w:val="center"/>
              <w:textAlignment w:val="baseline"/>
              <w:rPr>
                <w:b/>
                <w:sz w:val="24"/>
                <w:szCs w:val="24"/>
              </w:rPr>
            </w:pPr>
          </w:p>
        </w:tc>
        <w:tc>
          <w:tcPr>
            <w:tcW w:w="4045" w:type="dxa"/>
          </w:tcPr>
          <w:p w:rsidR="00F42E4E" w:rsidRPr="0033292B" w:rsidRDefault="008941F4" w:rsidP="00083F80">
            <w:pPr>
              <w:ind w:left="236" w:hanging="4"/>
              <w:rPr>
                <w:sz w:val="24"/>
                <w:szCs w:val="24"/>
              </w:rPr>
            </w:pPr>
          </w:p>
          <w:p w:rsidR="00F42E4E" w:rsidRPr="0033292B" w:rsidRDefault="008941F4" w:rsidP="00083F80">
            <w:pPr>
              <w:ind w:left="236" w:hanging="4"/>
              <w:rPr>
                <w:sz w:val="24"/>
                <w:szCs w:val="24"/>
              </w:rPr>
            </w:pPr>
          </w:p>
          <w:p w:rsidR="00F42E4E" w:rsidRPr="0033292B" w:rsidRDefault="008941F4" w:rsidP="00083F80">
            <w:pPr>
              <w:ind w:left="236" w:hanging="4"/>
              <w:rPr>
                <w:sz w:val="24"/>
                <w:szCs w:val="24"/>
              </w:rPr>
            </w:pPr>
          </w:p>
          <w:p w:rsidR="00F42E4E" w:rsidRPr="0033292B" w:rsidRDefault="008941F4" w:rsidP="00083F80">
            <w:pPr>
              <w:ind w:left="236" w:hanging="4"/>
              <w:rPr>
                <w:sz w:val="24"/>
                <w:szCs w:val="24"/>
              </w:rPr>
            </w:pPr>
          </w:p>
          <w:p w:rsidR="00F42E4E" w:rsidRPr="0033292B" w:rsidRDefault="008941F4" w:rsidP="00083F80">
            <w:pPr>
              <w:ind w:left="236" w:hanging="4"/>
              <w:rPr>
                <w:sz w:val="24"/>
                <w:szCs w:val="24"/>
              </w:rPr>
            </w:pPr>
          </w:p>
          <w:p w:rsidR="00F42E4E" w:rsidRPr="0033292B" w:rsidRDefault="008941F4" w:rsidP="00083F80">
            <w:pPr>
              <w:rPr>
                <w:sz w:val="24"/>
                <w:szCs w:val="24"/>
              </w:rPr>
            </w:pPr>
          </w:p>
          <w:p w:rsidR="00F42E4E" w:rsidRPr="0033292B" w:rsidRDefault="008941F4" w:rsidP="00083F80">
            <w:pPr>
              <w:rPr>
                <w:sz w:val="24"/>
                <w:szCs w:val="24"/>
              </w:rPr>
            </w:pPr>
            <w:r w:rsidRPr="0033292B">
              <w:rPr>
                <w:sz w:val="24"/>
                <w:szCs w:val="24"/>
              </w:rPr>
              <w:t>Civil Action No. 1:19-cv-01264</w:t>
            </w:r>
          </w:p>
        </w:tc>
      </w:tr>
    </w:tbl>
    <w:p w:rsidR="00F42E4E" w:rsidRPr="0033292B" w:rsidRDefault="008941F4" w:rsidP="00F42E4E">
      <w:pPr>
        <w:rPr>
          <w:rFonts w:eastAsia="Times New Roman" w:cs="Times New Roman"/>
          <w:szCs w:val="24"/>
        </w:rPr>
      </w:pPr>
    </w:p>
    <w:p w:rsidR="00F42E4E" w:rsidRDefault="008941F4" w:rsidP="00F42E4E">
      <w:pPr>
        <w:jc w:val="center"/>
        <w:rPr>
          <w:rFonts w:eastAsia="Times New Roman" w:cs="Times New Roman"/>
          <w:b/>
          <w:szCs w:val="24"/>
        </w:rPr>
      </w:pPr>
      <w:r>
        <w:rPr>
          <w:rFonts w:eastAsia="Times New Roman" w:cs="Times New Roman"/>
          <w:b/>
          <w:szCs w:val="24"/>
        </w:rPr>
        <w:t xml:space="preserve">Brief Amici </w:t>
      </w:r>
      <w:r>
        <w:rPr>
          <w:rFonts w:eastAsia="Times New Roman" w:cs="Times New Roman"/>
          <w:b/>
          <w:szCs w:val="24"/>
        </w:rPr>
        <w:t>Curiae of the</w:t>
      </w:r>
    </w:p>
    <w:p w:rsidR="00F42E4E" w:rsidRDefault="008941F4" w:rsidP="00F42E4E">
      <w:pPr>
        <w:jc w:val="center"/>
        <w:rPr>
          <w:rFonts w:eastAsia="Times New Roman" w:cs="Times New Roman"/>
          <w:b/>
          <w:szCs w:val="24"/>
        </w:rPr>
      </w:pPr>
      <w:r>
        <w:rPr>
          <w:rFonts w:eastAsia="Times New Roman" w:cs="Times New Roman"/>
          <w:b/>
          <w:szCs w:val="24"/>
        </w:rPr>
        <w:t>LOCAL GOVERNMENT COALITION FOR RENEWABLE ENERGY</w:t>
      </w:r>
    </w:p>
    <w:p w:rsidR="00F42E4E" w:rsidRDefault="008941F4" w:rsidP="00F42E4E">
      <w:pPr>
        <w:jc w:val="center"/>
        <w:rPr>
          <w:rFonts w:eastAsia="Times New Roman" w:cs="Times New Roman"/>
          <w:b/>
          <w:szCs w:val="24"/>
        </w:rPr>
      </w:pPr>
      <w:r>
        <w:rPr>
          <w:rFonts w:eastAsia="Times New Roman" w:cs="Times New Roman"/>
          <w:b/>
          <w:szCs w:val="24"/>
        </w:rPr>
        <w:t>in support of</w:t>
      </w:r>
    </w:p>
    <w:p w:rsidR="00F42E4E" w:rsidRPr="0033292B" w:rsidRDefault="008941F4" w:rsidP="00F42E4E">
      <w:pPr>
        <w:spacing w:after="240"/>
        <w:jc w:val="center"/>
        <w:rPr>
          <w:rFonts w:eastAsia="Times New Roman" w:cs="Times New Roman"/>
          <w:szCs w:val="24"/>
        </w:rPr>
      </w:pPr>
      <w:r w:rsidRPr="0033292B">
        <w:rPr>
          <w:rFonts w:eastAsia="Times New Roman" w:cs="Times New Roman"/>
          <w:b/>
          <w:szCs w:val="24"/>
          <w:u w:val="single"/>
        </w:rPr>
        <w:t>P</w:t>
      </w:r>
      <w:r>
        <w:rPr>
          <w:rFonts w:eastAsia="Times New Roman" w:cs="Times New Roman"/>
          <w:b/>
          <w:szCs w:val="24"/>
          <w:u w:val="single"/>
        </w:rPr>
        <w:t>LAINTIFFS’ MOTION FOR SUMMARY JUDGMENT</w:t>
      </w:r>
    </w:p>
    <w:p w:rsidR="006277E0" w:rsidRDefault="008941F4" w:rsidP="006277E0">
      <w:pPr>
        <w:spacing w:line="480" w:lineRule="auto"/>
        <w:jc w:val="both"/>
        <w:rPr>
          <w:rFonts w:cs="Times New Roman"/>
          <w:szCs w:val="24"/>
        </w:rPr>
      </w:pPr>
      <w:r>
        <w:rPr>
          <w:rFonts w:cs="Times New Roman"/>
          <w:szCs w:val="24"/>
        </w:rPr>
        <w:tab/>
      </w:r>
      <w:r w:rsidRPr="00DD020E">
        <w:rPr>
          <w:rFonts w:cs="Times New Roman"/>
          <w:szCs w:val="24"/>
        </w:rPr>
        <w:t>Waste management is an essential re</w:t>
      </w:r>
      <w:r>
        <w:rPr>
          <w:rFonts w:cs="Times New Roman"/>
          <w:szCs w:val="24"/>
        </w:rPr>
        <w:t xml:space="preserve">sponsibility </w:t>
      </w:r>
      <w:r w:rsidRPr="00DD020E">
        <w:rPr>
          <w:rFonts w:cs="Times New Roman"/>
          <w:szCs w:val="24"/>
        </w:rPr>
        <w:t>of all societies</w:t>
      </w:r>
      <w:r>
        <w:rPr>
          <w:rFonts w:cs="Times New Roman"/>
          <w:szCs w:val="24"/>
        </w:rPr>
        <w:t>, and, as would be expected, in meeting that responsibility some communitie</w:t>
      </w:r>
      <w:r>
        <w:rPr>
          <w:rFonts w:cs="Times New Roman"/>
          <w:szCs w:val="24"/>
        </w:rPr>
        <w:t xml:space="preserve">s exhibit more foresight than others.  </w:t>
      </w:r>
      <w:r w:rsidRPr="00537619">
        <w:rPr>
          <w:rFonts w:cs="Times New Roman"/>
          <w:i/>
          <w:iCs/>
          <w:szCs w:val="24"/>
        </w:rPr>
        <w:t>Amici</w:t>
      </w:r>
      <w:r>
        <w:rPr>
          <w:rFonts w:cs="Times New Roman"/>
          <w:szCs w:val="24"/>
        </w:rPr>
        <w:t xml:space="preserve"> </w:t>
      </w:r>
      <w:r>
        <w:rPr>
          <w:rFonts w:cs="Times New Roman"/>
          <w:szCs w:val="24"/>
        </w:rPr>
        <w:t xml:space="preserve"> ̶</w:t>
      </w:r>
      <w:r>
        <w:rPr>
          <w:rFonts w:cs="Times New Roman"/>
          <w:szCs w:val="24"/>
        </w:rPr>
        <w:t xml:space="preserve">  </w:t>
      </w:r>
      <w:r>
        <w:rPr>
          <w:rFonts w:cs="Times New Roman"/>
          <w:szCs w:val="24"/>
        </w:rPr>
        <w:t>cities, counties and special authorities that have primary responsibility for managing municipal solid waste (MSW) generated in their respective communities</w:t>
      </w:r>
      <w:r>
        <w:rPr>
          <w:rFonts w:cs="Times New Roman"/>
          <w:szCs w:val="24"/>
        </w:rPr>
        <w:t xml:space="preserve"> </w:t>
      </w:r>
      <w:r w:rsidRPr="00ED1FAB">
        <w:rPr>
          <w:rFonts w:cs="Times New Roman"/>
          <w:szCs w:val="24"/>
        </w:rPr>
        <w:t xml:space="preserve"> </w:t>
      </w:r>
      <w:r>
        <w:rPr>
          <w:rFonts w:cs="Times New Roman"/>
          <w:szCs w:val="24"/>
        </w:rPr>
        <w:t xml:space="preserve"> ̶ </w:t>
      </w:r>
      <w:r>
        <w:rPr>
          <w:rFonts w:cs="Times New Roman"/>
          <w:szCs w:val="24"/>
        </w:rPr>
        <w:t xml:space="preserve"> </w:t>
      </w:r>
      <w:r w:rsidRPr="00ED1FAB">
        <w:rPr>
          <w:rFonts w:cs="Times New Roman"/>
          <w:szCs w:val="24"/>
        </w:rPr>
        <w:t>are examples of the former.</w:t>
      </w:r>
      <w:r>
        <w:rPr>
          <w:rFonts w:cs="Times New Roman"/>
          <w:szCs w:val="24"/>
          <w:vertAlign w:val="superscript"/>
        </w:rPr>
        <w:footnoteReference w:id="1"/>
      </w:r>
      <w:r>
        <w:rPr>
          <w:rFonts w:cs="Times New Roman"/>
          <w:szCs w:val="24"/>
        </w:rPr>
        <w:t xml:space="preserve">  W</w:t>
      </w:r>
      <w:r>
        <w:rPr>
          <w:rFonts w:cs="Times New Roman"/>
          <w:szCs w:val="24"/>
        </w:rPr>
        <w:t xml:space="preserve">ith that responsibility as </w:t>
      </w:r>
      <w:r>
        <w:rPr>
          <w:rFonts w:cs="Times New Roman"/>
          <w:szCs w:val="24"/>
        </w:rPr>
        <w:t>a</w:t>
      </w:r>
      <w:r>
        <w:rPr>
          <w:rFonts w:cs="Times New Roman"/>
          <w:szCs w:val="24"/>
        </w:rPr>
        <w:t xml:space="preserve"> backdrop, </w:t>
      </w:r>
      <w:r w:rsidRPr="003F74E7">
        <w:rPr>
          <w:rFonts w:cs="Times New Roman"/>
          <w:i/>
          <w:iCs/>
          <w:szCs w:val="24"/>
        </w:rPr>
        <w:t>amici</w:t>
      </w:r>
      <w:r>
        <w:rPr>
          <w:rFonts w:cs="Times New Roman"/>
          <w:szCs w:val="24"/>
        </w:rPr>
        <w:t xml:space="preserve"> have developed modern waste-to-energy (WTE) facilities for management of their communities’ MSW.  </w:t>
      </w:r>
      <w:r w:rsidRPr="00B62380">
        <w:rPr>
          <w:rFonts w:cs="Times New Roman"/>
          <w:i/>
          <w:iCs/>
          <w:szCs w:val="24"/>
        </w:rPr>
        <w:t>Amici’s</w:t>
      </w:r>
      <w:r>
        <w:rPr>
          <w:rFonts w:cs="Times New Roman"/>
          <w:szCs w:val="24"/>
        </w:rPr>
        <w:t xml:space="preserve"> decisions to develop WTE facilities did not </w:t>
      </w:r>
      <w:r>
        <w:rPr>
          <w:rFonts w:cs="Times New Roman"/>
          <w:szCs w:val="24"/>
        </w:rPr>
        <w:lastRenderedPageBreak/>
        <w:t>occur in a vacuum but rather as a result of careful, painstak</w:t>
      </w:r>
      <w:r>
        <w:rPr>
          <w:rFonts w:cs="Times New Roman"/>
          <w:szCs w:val="24"/>
        </w:rPr>
        <w:t xml:space="preserve">ing assessment of </w:t>
      </w:r>
      <w:r>
        <w:rPr>
          <w:rFonts w:cs="Times New Roman"/>
          <w:szCs w:val="24"/>
        </w:rPr>
        <w:t xml:space="preserve">the </w:t>
      </w:r>
      <w:r>
        <w:rPr>
          <w:rFonts w:cs="Times New Roman"/>
          <w:szCs w:val="24"/>
        </w:rPr>
        <w:t xml:space="preserve">alternatives and recognition that WTE is one of the most environmentally protective sources of renewable energy.  </w:t>
      </w:r>
      <w:r>
        <w:rPr>
          <w:rFonts w:cs="Times New Roman"/>
          <w:szCs w:val="24"/>
        </w:rPr>
        <w:t>That statement is not hyperbole or braggadocio</w:t>
      </w:r>
      <w:r>
        <w:rPr>
          <w:rFonts w:cs="Times New Roman"/>
          <w:szCs w:val="24"/>
        </w:rPr>
        <w:t>.  To the contrary,</w:t>
      </w:r>
      <w:r>
        <w:rPr>
          <w:rFonts w:cs="Times New Roman"/>
          <w:szCs w:val="24"/>
        </w:rPr>
        <w:t xml:space="preserve"> </w:t>
      </w:r>
      <w:r w:rsidRPr="001609B9">
        <w:rPr>
          <w:rFonts w:cs="Times New Roman"/>
          <w:szCs w:val="24"/>
        </w:rPr>
        <w:t>the U.S. Environmental Protection Agency (EPA) has rec</w:t>
      </w:r>
      <w:r w:rsidRPr="001609B9">
        <w:rPr>
          <w:rFonts w:cs="Times New Roman"/>
          <w:szCs w:val="24"/>
        </w:rPr>
        <w:t>ognized WTE as a significant source of renewable energy that has “less environmental impact than almost any other source of electricity</w:t>
      </w:r>
      <w:r>
        <w:rPr>
          <w:rFonts w:cs="Times New Roman"/>
          <w:szCs w:val="24"/>
        </w:rPr>
        <w:t>,</w:t>
      </w:r>
      <w:r w:rsidRPr="001609B9">
        <w:rPr>
          <w:rFonts w:cs="Times New Roman"/>
          <w:szCs w:val="24"/>
        </w:rPr>
        <w:t xml:space="preserve">” </w:t>
      </w:r>
      <w:r>
        <w:rPr>
          <w:rFonts w:cs="Times New Roman"/>
          <w:szCs w:val="24"/>
        </w:rPr>
        <w:t>s</w:t>
      </w:r>
      <w:r w:rsidRPr="001609B9">
        <w:rPr>
          <w:rFonts w:cs="Times New Roman"/>
          <w:i/>
          <w:szCs w:val="24"/>
        </w:rPr>
        <w:t>ee</w:t>
      </w:r>
      <w:r w:rsidRPr="001609B9">
        <w:rPr>
          <w:rFonts w:cs="Times New Roman"/>
          <w:szCs w:val="24"/>
        </w:rPr>
        <w:t xml:space="preserve"> </w:t>
      </w:r>
      <w:hyperlink r:id="rId11" w:history="1">
        <w:r w:rsidRPr="001609B9">
          <w:rPr>
            <w:rStyle w:val="Hyperlink"/>
            <w:rFonts w:cs="Times New Roman"/>
            <w:szCs w:val="24"/>
          </w:rPr>
          <w:t>http://energyrecove</w:t>
        </w:r>
        <w:r w:rsidRPr="001609B9">
          <w:rPr>
            <w:rStyle w:val="Hyperlink"/>
            <w:rFonts w:cs="Times New Roman"/>
            <w:szCs w:val="24"/>
          </w:rPr>
          <w:t>rycouncil.org/wp-content/uploads/2016/07/030214-EPA-letter.pdf</w:t>
        </w:r>
      </w:hyperlink>
      <w:r>
        <w:rPr>
          <w:rFonts w:cs="Times New Roman"/>
          <w:szCs w:val="24"/>
        </w:rPr>
        <w:t xml:space="preserve">, and similarly </w:t>
      </w:r>
      <w:r w:rsidRPr="00D36478">
        <w:rPr>
          <w:rFonts w:cs="Times New Roman"/>
          <w:szCs w:val="24"/>
        </w:rPr>
        <w:t xml:space="preserve">the World Economic Forum’s report, </w:t>
      </w:r>
      <w:r w:rsidRPr="00D36478">
        <w:rPr>
          <w:rFonts w:cs="Times New Roman"/>
          <w:i/>
          <w:szCs w:val="24"/>
        </w:rPr>
        <w:t>Green Investing – Towards a Clean Energy Infrastructure</w:t>
      </w:r>
      <w:r w:rsidRPr="00D36478">
        <w:rPr>
          <w:rFonts w:cs="Times New Roman"/>
          <w:szCs w:val="24"/>
        </w:rPr>
        <w:t xml:space="preserve">, recognizes </w:t>
      </w:r>
      <w:r w:rsidRPr="00D36478">
        <w:rPr>
          <w:rFonts w:cs="Times New Roman"/>
          <w:bCs/>
          <w:szCs w:val="24"/>
        </w:rPr>
        <w:t xml:space="preserve">WTE as one of eight “key renewable energy sectors” </w:t>
      </w:r>
      <w:r>
        <w:rPr>
          <w:rFonts w:cs="Times New Roman"/>
          <w:bCs/>
          <w:szCs w:val="24"/>
        </w:rPr>
        <w:t>that is</w:t>
      </w:r>
      <w:r w:rsidRPr="00D36478">
        <w:rPr>
          <w:rFonts w:cs="Times New Roman"/>
          <w:bCs/>
          <w:szCs w:val="24"/>
        </w:rPr>
        <w:t xml:space="preserve"> “particularly</w:t>
      </w:r>
      <w:r w:rsidRPr="00D36478">
        <w:rPr>
          <w:rFonts w:cs="Times New Roman"/>
          <w:bCs/>
          <w:szCs w:val="24"/>
        </w:rPr>
        <w:t xml:space="preserve"> promising in terms of . . . abatement potential” for carbon emissions. </w:t>
      </w:r>
      <w:r w:rsidRPr="00D36478">
        <w:rPr>
          <w:rFonts w:cs="Times New Roman"/>
          <w:szCs w:val="24"/>
        </w:rPr>
        <w:t xml:space="preserve"> </w:t>
      </w:r>
      <w:hyperlink r:id="rId12" w:history="1">
        <w:r w:rsidRPr="00892576">
          <w:rPr>
            <w:rStyle w:val="Hyperlink"/>
            <w:rFonts w:cs="Times New Roman"/>
            <w:szCs w:val="24"/>
            <w:highlight w:val="yellow"/>
          </w:rPr>
          <w:t>https://www.wtienergy.com/sites/default/files/ERC2009_GreenInvesting_Jan_Davos_r</w:t>
        </w:r>
        <w:r w:rsidRPr="00892576">
          <w:rPr>
            <w:rStyle w:val="Hyperlink"/>
            <w:rFonts w:cs="Times New Roman"/>
            <w:szCs w:val="24"/>
            <w:highlight w:val="yellow"/>
          </w:rPr>
          <w:t>eport.pdf</w:t>
        </w:r>
      </w:hyperlink>
      <w:r w:rsidRPr="00D36478">
        <w:rPr>
          <w:rFonts w:cs="Times New Roman"/>
          <w:szCs w:val="24"/>
        </w:rPr>
        <w:t>, p. 27.</w:t>
      </w:r>
      <w:r>
        <w:rPr>
          <w:rStyle w:val="FootnoteReference"/>
          <w:rFonts w:cs="Times New Roman"/>
          <w:szCs w:val="24"/>
        </w:rPr>
        <w:footnoteReference w:id="2"/>
      </w:r>
    </w:p>
    <w:p w:rsidR="006277E0" w:rsidRDefault="008941F4" w:rsidP="006277E0">
      <w:pPr>
        <w:spacing w:line="480" w:lineRule="auto"/>
        <w:jc w:val="both"/>
        <w:rPr>
          <w:rFonts w:cs="Times New Roman"/>
          <w:szCs w:val="24"/>
          <w:lang w:val="en"/>
        </w:rPr>
      </w:pPr>
      <w:r>
        <w:rPr>
          <w:rFonts w:cs="Times New Roman"/>
          <w:szCs w:val="24"/>
        </w:rPr>
        <w:tab/>
        <w:t xml:space="preserve">The City of Baltimore action at issue here, Ordinance 18-0306, cannot be reconciled with the facts and science </w:t>
      </w:r>
      <w:r>
        <w:rPr>
          <w:rFonts w:cs="Times New Roman"/>
          <w:szCs w:val="24"/>
        </w:rPr>
        <w:t xml:space="preserve">pertinent </w:t>
      </w:r>
      <w:r>
        <w:rPr>
          <w:rFonts w:cs="Times New Roman"/>
          <w:szCs w:val="24"/>
        </w:rPr>
        <w:t xml:space="preserve">to WTE.  </w:t>
      </w:r>
      <w:r>
        <w:rPr>
          <w:rFonts w:cs="Times New Roman"/>
          <w:szCs w:val="24"/>
        </w:rPr>
        <w:t>Although</w:t>
      </w:r>
      <w:r>
        <w:rPr>
          <w:rFonts w:cs="Times New Roman"/>
          <w:szCs w:val="24"/>
        </w:rPr>
        <w:t xml:space="preserve"> </w:t>
      </w:r>
      <w:r>
        <w:rPr>
          <w:rFonts w:cs="Times New Roman"/>
          <w:szCs w:val="24"/>
        </w:rPr>
        <w:t xml:space="preserve">the ostensible purpose of the ordinance, as </w:t>
      </w:r>
      <w:r>
        <w:rPr>
          <w:rFonts w:cs="Times New Roman"/>
          <w:szCs w:val="24"/>
        </w:rPr>
        <w:t xml:space="preserve">Baltimore representatives have at times </w:t>
      </w:r>
      <w:r>
        <w:rPr>
          <w:rFonts w:cs="Times New Roman"/>
          <w:szCs w:val="24"/>
        </w:rPr>
        <w:t>contended, is additional regulation of air emissions from Wheelabrator Baltimore’s WTE facility and the Curtis Bay medical waste incinerator</w:t>
      </w:r>
      <w:r>
        <w:rPr>
          <w:rFonts w:cs="Times New Roman"/>
          <w:szCs w:val="24"/>
        </w:rPr>
        <w:t>, that is, addition</w:t>
      </w:r>
      <w:r>
        <w:rPr>
          <w:rFonts w:cs="Times New Roman"/>
          <w:szCs w:val="24"/>
        </w:rPr>
        <w:t>al</w:t>
      </w:r>
      <w:r>
        <w:rPr>
          <w:rFonts w:cs="Times New Roman"/>
          <w:szCs w:val="24"/>
        </w:rPr>
        <w:t xml:space="preserve"> regulation beyond the demanding EPA and Maryland Depar</w:t>
      </w:r>
      <w:r>
        <w:rPr>
          <w:rFonts w:cs="Times New Roman"/>
          <w:szCs w:val="24"/>
        </w:rPr>
        <w:t>tment of the Environment regulatory standards already in place, such contentions</w:t>
      </w:r>
      <w:r>
        <w:rPr>
          <w:rFonts w:cs="Times New Roman"/>
          <w:szCs w:val="24"/>
        </w:rPr>
        <w:t xml:space="preserve"> are aptly described as “contrived reasons,” </w:t>
      </w:r>
      <w:r w:rsidRPr="00593D75">
        <w:rPr>
          <w:rFonts w:cs="Times New Roman"/>
          <w:i/>
          <w:iCs/>
          <w:szCs w:val="24"/>
        </w:rPr>
        <w:t>see</w:t>
      </w:r>
      <w:r>
        <w:rPr>
          <w:rFonts w:cs="Times New Roman"/>
          <w:szCs w:val="24"/>
        </w:rPr>
        <w:t xml:space="preserve"> </w:t>
      </w:r>
      <w:r w:rsidRPr="00593D75">
        <w:rPr>
          <w:rFonts w:cs="Times New Roman"/>
          <w:i/>
          <w:iCs/>
          <w:szCs w:val="24"/>
        </w:rPr>
        <w:t>Department of Commerce v. New York</w:t>
      </w:r>
      <w:r>
        <w:rPr>
          <w:rFonts w:cs="Times New Roman"/>
          <w:szCs w:val="24"/>
        </w:rPr>
        <w:t>, Supreme Court, No. 18-966 (June 27, 2019), slip op. at 28, and cannot conceal the fact that</w:t>
      </w:r>
      <w:r>
        <w:rPr>
          <w:rFonts w:cs="Times New Roman"/>
          <w:szCs w:val="24"/>
        </w:rPr>
        <w:t xml:space="preserve"> the true purpose of Ordinance </w:t>
      </w:r>
      <w:r w:rsidRPr="007D7D56">
        <w:rPr>
          <w:rFonts w:cs="Times New Roman"/>
          <w:szCs w:val="24"/>
        </w:rPr>
        <w:t>18-0306</w:t>
      </w:r>
      <w:r>
        <w:rPr>
          <w:rFonts w:cs="Times New Roman"/>
          <w:szCs w:val="24"/>
        </w:rPr>
        <w:t xml:space="preserve"> is not </w:t>
      </w:r>
      <w:r>
        <w:rPr>
          <w:rFonts w:cs="Times New Roman"/>
          <w:szCs w:val="24"/>
        </w:rPr>
        <w:t xml:space="preserve">to address </w:t>
      </w:r>
      <w:r>
        <w:rPr>
          <w:rFonts w:cs="Times New Roman"/>
          <w:szCs w:val="24"/>
        </w:rPr>
        <w:t xml:space="preserve">an </w:t>
      </w:r>
      <w:r>
        <w:rPr>
          <w:rFonts w:cs="Times New Roman"/>
          <w:szCs w:val="24"/>
        </w:rPr>
        <w:t xml:space="preserve">environmental </w:t>
      </w:r>
      <w:r>
        <w:rPr>
          <w:rFonts w:cs="Times New Roman"/>
          <w:szCs w:val="24"/>
        </w:rPr>
        <w:t xml:space="preserve">concern </w:t>
      </w:r>
      <w:r>
        <w:rPr>
          <w:rFonts w:cs="Times New Roman"/>
          <w:szCs w:val="24"/>
        </w:rPr>
        <w:t xml:space="preserve">but rather an effort ‒ as expressly acknowledged by the proponents of the </w:t>
      </w:r>
      <w:r>
        <w:rPr>
          <w:rFonts w:cs="Times New Roman"/>
          <w:szCs w:val="24"/>
        </w:rPr>
        <w:lastRenderedPageBreak/>
        <w:t xml:space="preserve">ordinance ‒ “to </w:t>
      </w:r>
      <w:r w:rsidRPr="00B810C1">
        <w:rPr>
          <w:rFonts w:cs="Times New Roman"/>
          <w:szCs w:val="24"/>
          <w:lang w:val="en"/>
        </w:rPr>
        <w:t>shut down Wheelabrator</w:t>
      </w:r>
      <w:r>
        <w:rPr>
          <w:rFonts w:cs="Times New Roman"/>
          <w:szCs w:val="24"/>
          <w:lang w:val="en"/>
        </w:rPr>
        <w:t xml:space="preserve">,” specifically, the WTE facility in Baltimore.  </w:t>
      </w:r>
      <w:r w:rsidRPr="00653CFA">
        <w:rPr>
          <w:rFonts w:cs="Times New Roman"/>
          <w:i/>
          <w:szCs w:val="24"/>
          <w:lang w:val="en"/>
        </w:rPr>
        <w:t>See</w:t>
      </w:r>
      <w:r>
        <w:rPr>
          <w:rFonts w:cs="Times New Roman"/>
          <w:szCs w:val="24"/>
          <w:lang w:val="en"/>
        </w:rPr>
        <w:t xml:space="preserve"> </w:t>
      </w:r>
      <w:r>
        <w:rPr>
          <w:rFonts w:cs="Times New Roman"/>
          <w:szCs w:val="24"/>
          <w:lang w:val="en"/>
        </w:rPr>
        <w:t>[</w:t>
      </w:r>
      <w:r w:rsidRPr="00454D4C">
        <w:rPr>
          <w:rFonts w:cs="Times New Roman"/>
          <w:szCs w:val="24"/>
          <w:highlight w:val="yellow"/>
          <w:lang w:val="en"/>
        </w:rPr>
        <w:t>URL</w:t>
      </w:r>
      <w:r>
        <w:rPr>
          <w:rFonts w:cs="Times New Roman"/>
          <w:szCs w:val="24"/>
          <w:lang w:val="en"/>
        </w:rPr>
        <w:t xml:space="preserve"> for </w:t>
      </w:r>
      <w:r w:rsidRPr="00D15CD7">
        <w:rPr>
          <w:rFonts w:cs="Times New Roman"/>
          <w:i/>
          <w:szCs w:val="24"/>
          <w:lang w:val="en"/>
        </w:rPr>
        <w:t>Baltimore Sun</w:t>
      </w:r>
      <w:r>
        <w:rPr>
          <w:rFonts w:cs="Times New Roman"/>
          <w:szCs w:val="24"/>
          <w:lang w:val="en"/>
        </w:rPr>
        <w:t>, April __, 2019, [title of article, p.__]</w:t>
      </w:r>
      <w:r>
        <w:rPr>
          <w:rFonts w:cs="Times New Roman"/>
          <w:szCs w:val="24"/>
          <w:lang w:val="en"/>
        </w:rPr>
        <w:t xml:space="preserve">.  </w:t>
      </w:r>
      <w:r w:rsidRPr="000850AA">
        <w:rPr>
          <w:rFonts w:cs="Times New Roman"/>
          <w:szCs w:val="24"/>
        </w:rPr>
        <w:t xml:space="preserve">Moreover, even though the facts and science are the same, the anti-WTE objective that underlies Ordinance 18-0306 cannot be reconciled with the considerable praise WTE receives from </w:t>
      </w:r>
      <w:r w:rsidRPr="000850AA">
        <w:rPr>
          <w:rFonts w:cs="Times New Roman"/>
          <w:szCs w:val="24"/>
        </w:rPr>
        <w:t>WTE-reliant communities elsewhere in the U.S.</w:t>
      </w:r>
      <w:r>
        <w:rPr>
          <w:rStyle w:val="FootnoteReference"/>
          <w:rFonts w:cs="Times New Roman"/>
          <w:szCs w:val="24"/>
          <w:lang w:val="en"/>
        </w:rPr>
        <w:footnoteReference w:id="3"/>
      </w:r>
      <w:r>
        <w:rPr>
          <w:rFonts w:cs="Times New Roman"/>
          <w:szCs w:val="24"/>
          <w:lang w:val="en"/>
        </w:rPr>
        <w:t xml:space="preserve"> </w:t>
      </w:r>
      <w:r>
        <w:rPr>
          <w:rFonts w:cs="Times New Roman"/>
          <w:szCs w:val="24"/>
          <w:lang w:val="en"/>
        </w:rPr>
        <w:t>And w</w:t>
      </w:r>
      <w:r>
        <w:rPr>
          <w:rFonts w:cs="Times New Roman"/>
          <w:szCs w:val="24"/>
          <w:lang w:val="en"/>
        </w:rPr>
        <w:t xml:space="preserve">hile Baltimore’s strategy in this litigation may include an attempt to retreat from the City’s earlier statement </w:t>
      </w:r>
      <w:r>
        <w:rPr>
          <w:rFonts w:cs="Times New Roman"/>
          <w:szCs w:val="24"/>
          <w:lang w:val="en"/>
        </w:rPr>
        <w:t>that</w:t>
      </w:r>
      <w:r>
        <w:rPr>
          <w:rFonts w:cs="Times New Roman"/>
          <w:szCs w:val="24"/>
          <w:lang w:val="en"/>
        </w:rPr>
        <w:t xml:space="preserve"> the purpose of Ordinance 18-0306 is “to shut down Wheelabrator,” </w:t>
      </w:r>
      <w:r w:rsidRPr="00617273">
        <w:rPr>
          <w:rFonts w:cs="Times New Roman"/>
          <w:szCs w:val="24"/>
          <w:lang w:val="en"/>
        </w:rPr>
        <w:t xml:space="preserve">a reviewing court </w:t>
      </w:r>
      <w:r>
        <w:rPr>
          <w:rFonts w:cs="Times New Roman"/>
          <w:szCs w:val="24"/>
          <w:lang w:val="en"/>
        </w:rPr>
        <w:t>mus</w:t>
      </w:r>
      <w:r>
        <w:rPr>
          <w:rFonts w:cs="Times New Roman"/>
          <w:szCs w:val="24"/>
          <w:lang w:val="en"/>
        </w:rPr>
        <w:t xml:space="preserve">t be wary </w:t>
      </w:r>
      <w:r>
        <w:rPr>
          <w:rFonts w:cs="Times New Roman"/>
          <w:szCs w:val="24"/>
          <w:lang w:val="en"/>
        </w:rPr>
        <w:t xml:space="preserve">of such a change of heart </w:t>
      </w:r>
      <w:r>
        <w:rPr>
          <w:rFonts w:cs="Times New Roman"/>
          <w:szCs w:val="24"/>
          <w:lang w:val="en"/>
        </w:rPr>
        <w:t xml:space="preserve">and </w:t>
      </w:r>
      <w:r w:rsidRPr="00617273">
        <w:rPr>
          <w:rFonts w:cs="Times New Roman"/>
          <w:szCs w:val="24"/>
          <w:lang w:val="en"/>
        </w:rPr>
        <w:t>is “not required to exhibit a naivete from which ordinary citizens are free.”</w:t>
      </w:r>
      <w:r>
        <w:rPr>
          <w:rFonts w:cs="Times New Roman"/>
          <w:szCs w:val="24"/>
          <w:lang w:val="en"/>
        </w:rPr>
        <w:t xml:space="preserve">  </w:t>
      </w:r>
      <w:r w:rsidRPr="0058722C">
        <w:rPr>
          <w:rFonts w:cs="Times New Roman"/>
          <w:i/>
          <w:iCs/>
          <w:szCs w:val="24"/>
          <w:lang w:val="en"/>
        </w:rPr>
        <w:t>United States v. Stanchich</w:t>
      </w:r>
      <w:r>
        <w:rPr>
          <w:rFonts w:cs="Times New Roman"/>
          <w:szCs w:val="24"/>
          <w:lang w:val="en"/>
        </w:rPr>
        <w:t>, 550 F.2d 729, 744 (1985).</w:t>
      </w:r>
    </w:p>
    <w:p w:rsidR="006277E0" w:rsidRDefault="008941F4" w:rsidP="006277E0">
      <w:pPr>
        <w:spacing w:line="480" w:lineRule="auto"/>
        <w:jc w:val="both"/>
        <w:rPr>
          <w:rFonts w:cs="Times New Roman"/>
          <w:szCs w:val="24"/>
          <w:lang w:val="en"/>
        </w:rPr>
      </w:pPr>
      <w:r>
        <w:rPr>
          <w:rFonts w:cs="Times New Roman"/>
          <w:szCs w:val="24"/>
          <w:lang w:val="en"/>
        </w:rPr>
        <w:tab/>
      </w:r>
      <w:r>
        <w:rPr>
          <w:rFonts w:cs="Times New Roman"/>
          <w:szCs w:val="24"/>
          <w:lang w:val="en"/>
        </w:rPr>
        <w:t>While</w:t>
      </w:r>
      <w:r>
        <w:rPr>
          <w:rFonts w:cs="Times New Roman"/>
          <w:szCs w:val="24"/>
          <w:lang w:val="en"/>
        </w:rPr>
        <w:t xml:space="preserve"> Baltimore’s acknowledgment of the true purpose of Ordinance 18-0306</w:t>
      </w:r>
      <w:r>
        <w:rPr>
          <w:rFonts w:cs="Times New Roman"/>
          <w:szCs w:val="24"/>
          <w:lang w:val="en"/>
        </w:rPr>
        <w:t xml:space="preserve"> is power</w:t>
      </w:r>
      <w:r>
        <w:rPr>
          <w:rFonts w:cs="Times New Roman"/>
          <w:szCs w:val="24"/>
          <w:lang w:val="en"/>
        </w:rPr>
        <w:t>ful evidence of the ordinance’s illegality</w:t>
      </w:r>
      <w:r>
        <w:rPr>
          <w:rFonts w:cs="Times New Roman"/>
          <w:szCs w:val="24"/>
          <w:lang w:val="en"/>
        </w:rPr>
        <w:t xml:space="preserve">, </w:t>
      </w:r>
      <w:r>
        <w:rPr>
          <w:rFonts w:cs="Times New Roman"/>
          <w:szCs w:val="24"/>
          <w:lang w:val="en"/>
        </w:rPr>
        <w:t xml:space="preserve">on a number of independent bases </w:t>
      </w:r>
      <w:r w:rsidRPr="008408C6">
        <w:rPr>
          <w:rFonts w:cs="Times New Roman"/>
          <w:szCs w:val="24"/>
          <w:lang w:val="en"/>
        </w:rPr>
        <w:t>the City’s action is unlawful under both Maryland and federal law</w:t>
      </w:r>
      <w:r>
        <w:rPr>
          <w:rFonts w:cs="Times New Roman"/>
          <w:szCs w:val="24"/>
          <w:lang w:val="en"/>
        </w:rPr>
        <w:t xml:space="preserve">.  That illegality is thoroughly demonstrated in </w:t>
      </w:r>
      <w:r>
        <w:rPr>
          <w:rFonts w:cs="Times New Roman"/>
          <w:szCs w:val="24"/>
          <w:lang w:val="en"/>
        </w:rPr>
        <w:t xml:space="preserve">the </w:t>
      </w:r>
      <w:r>
        <w:rPr>
          <w:rFonts w:cs="Times New Roman"/>
          <w:szCs w:val="24"/>
          <w:lang w:val="en"/>
        </w:rPr>
        <w:t>plaintiff</w:t>
      </w:r>
      <w:r>
        <w:rPr>
          <w:rFonts w:cs="Times New Roman"/>
          <w:szCs w:val="24"/>
          <w:lang w:val="en"/>
        </w:rPr>
        <w:t>s’</w:t>
      </w:r>
      <w:r>
        <w:rPr>
          <w:rFonts w:cs="Times New Roman"/>
          <w:szCs w:val="24"/>
          <w:lang w:val="en"/>
        </w:rPr>
        <w:t xml:space="preserve"> summary judgment memorandum, and </w:t>
      </w:r>
      <w:r>
        <w:rPr>
          <w:rFonts w:cs="Times New Roman"/>
          <w:i/>
          <w:iCs/>
          <w:szCs w:val="24"/>
          <w:lang w:val="en"/>
        </w:rPr>
        <w:t>a</w:t>
      </w:r>
      <w:r w:rsidRPr="00E113CE">
        <w:rPr>
          <w:rFonts w:cs="Times New Roman"/>
          <w:i/>
          <w:iCs/>
          <w:szCs w:val="24"/>
          <w:lang w:val="en"/>
        </w:rPr>
        <w:t>mici</w:t>
      </w:r>
      <w:r>
        <w:rPr>
          <w:rFonts w:cs="Times New Roman"/>
          <w:szCs w:val="24"/>
          <w:lang w:val="en"/>
        </w:rPr>
        <w:t xml:space="preserve"> will not burden the Court with repetition of that legal analysis.  Instead, we focus below on the facts and science pertinent to WTE.</w:t>
      </w:r>
    </w:p>
    <w:p w:rsidR="006277E0" w:rsidRPr="00983225" w:rsidRDefault="008941F4" w:rsidP="006277E0">
      <w:pPr>
        <w:spacing w:line="480" w:lineRule="auto"/>
        <w:jc w:val="center"/>
        <w:rPr>
          <w:rFonts w:cs="Times New Roman"/>
          <w:b/>
          <w:bCs/>
          <w:szCs w:val="24"/>
          <w:u w:val="single"/>
          <w:lang w:val="en"/>
        </w:rPr>
      </w:pPr>
      <w:r w:rsidRPr="00983225">
        <w:rPr>
          <w:rFonts w:cs="Times New Roman"/>
          <w:b/>
          <w:bCs/>
          <w:szCs w:val="24"/>
          <w:u w:val="single"/>
          <w:lang w:val="en"/>
        </w:rPr>
        <w:t>ARGUMENT</w:t>
      </w:r>
    </w:p>
    <w:p w:rsidR="000801E1" w:rsidRDefault="008941F4" w:rsidP="006277E0">
      <w:pPr>
        <w:spacing w:line="480" w:lineRule="auto"/>
        <w:jc w:val="both"/>
        <w:rPr>
          <w:rFonts w:cs="Times New Roman"/>
          <w:szCs w:val="24"/>
        </w:rPr>
      </w:pPr>
      <w:r>
        <w:rPr>
          <w:rFonts w:cs="Times New Roman"/>
          <w:szCs w:val="24"/>
        </w:rPr>
        <w:tab/>
        <w:t>Waste-to-energy facilities provide a diverse set of increasingly important environmental benefits to the commun</w:t>
      </w:r>
      <w:r>
        <w:rPr>
          <w:rFonts w:cs="Times New Roman"/>
          <w:szCs w:val="24"/>
        </w:rPr>
        <w:t>ities they serve as well as the Nation at large.  This ranges from significant reductions in greenhouses gases to facilitating enhanced recycling in the communities the WTE facilities serve.</w:t>
      </w:r>
    </w:p>
    <w:p w:rsidR="000801E1" w:rsidRDefault="008941F4">
      <w:pPr>
        <w:rPr>
          <w:rFonts w:cs="Times New Roman"/>
          <w:szCs w:val="24"/>
        </w:rPr>
      </w:pPr>
      <w:r>
        <w:rPr>
          <w:rFonts w:cs="Times New Roman"/>
          <w:szCs w:val="24"/>
        </w:rPr>
        <w:br w:type="page"/>
      </w:r>
    </w:p>
    <w:p w:rsidR="006277E0" w:rsidRDefault="008941F4" w:rsidP="006277E0">
      <w:pPr>
        <w:spacing w:line="480" w:lineRule="auto"/>
        <w:jc w:val="both"/>
        <w:rPr>
          <w:rFonts w:cs="Times New Roman"/>
          <w:szCs w:val="24"/>
        </w:rPr>
      </w:pPr>
    </w:p>
    <w:p w:rsidR="006277E0" w:rsidRPr="00ED3B84" w:rsidRDefault="008941F4" w:rsidP="006277E0">
      <w:pPr>
        <w:tabs>
          <w:tab w:val="left" w:pos="720"/>
          <w:tab w:val="left" w:pos="1080"/>
        </w:tabs>
        <w:spacing w:line="480" w:lineRule="auto"/>
        <w:jc w:val="both"/>
        <w:rPr>
          <w:rFonts w:cs="Times New Roman"/>
          <w:b/>
          <w:bCs/>
          <w:szCs w:val="24"/>
        </w:rPr>
      </w:pPr>
      <w:r>
        <w:rPr>
          <w:rFonts w:cs="Times New Roman"/>
          <w:szCs w:val="24"/>
        </w:rPr>
        <w:tab/>
      </w:r>
      <w:r w:rsidRPr="00ED3B84">
        <w:rPr>
          <w:rFonts w:cs="Times New Roman"/>
          <w:b/>
          <w:bCs/>
          <w:szCs w:val="24"/>
        </w:rPr>
        <w:t>A.</w:t>
      </w:r>
      <w:r w:rsidRPr="00ED3B84">
        <w:rPr>
          <w:rFonts w:cs="Times New Roman"/>
          <w:b/>
          <w:bCs/>
          <w:szCs w:val="24"/>
        </w:rPr>
        <w:tab/>
      </w:r>
      <w:r w:rsidRPr="00ED3B84">
        <w:rPr>
          <w:rFonts w:cs="Times New Roman"/>
          <w:b/>
          <w:bCs/>
          <w:szCs w:val="24"/>
          <w:u w:val="single"/>
        </w:rPr>
        <w:t>Environmental Protection</w:t>
      </w:r>
    </w:p>
    <w:p w:rsidR="00C04AF3" w:rsidRDefault="008941F4" w:rsidP="00874824">
      <w:pPr>
        <w:spacing w:line="480" w:lineRule="auto"/>
        <w:jc w:val="both"/>
        <w:rPr>
          <w:rFonts w:cs="Times New Roman"/>
          <w:bCs/>
          <w:szCs w:val="24"/>
        </w:rPr>
      </w:pPr>
      <w:r>
        <w:rPr>
          <w:rFonts w:cs="Times New Roman"/>
          <w:bCs/>
          <w:szCs w:val="24"/>
        </w:rPr>
        <w:tab/>
      </w:r>
      <w:r w:rsidRPr="00ED3B84">
        <w:rPr>
          <w:rFonts w:cs="Times New Roman"/>
          <w:bCs/>
          <w:szCs w:val="24"/>
        </w:rPr>
        <w:t>WTE facilities operate under str</w:t>
      </w:r>
      <w:r w:rsidRPr="00ED3B84">
        <w:rPr>
          <w:rFonts w:cs="Times New Roman"/>
          <w:bCs/>
          <w:szCs w:val="24"/>
        </w:rPr>
        <w:t xml:space="preserve">ingent federal and state </w:t>
      </w:r>
      <w:r>
        <w:rPr>
          <w:rFonts w:cs="Times New Roman"/>
          <w:bCs/>
          <w:szCs w:val="24"/>
        </w:rPr>
        <w:t xml:space="preserve">air quality </w:t>
      </w:r>
      <w:r w:rsidRPr="00ED3B84">
        <w:rPr>
          <w:rFonts w:cs="Times New Roman"/>
          <w:bCs/>
          <w:szCs w:val="24"/>
        </w:rPr>
        <w:t xml:space="preserve">standards based on the most advanced emissions control technology.  </w:t>
      </w:r>
      <w:r>
        <w:rPr>
          <w:rFonts w:cs="Times New Roman"/>
          <w:bCs/>
          <w:szCs w:val="24"/>
        </w:rPr>
        <w:t xml:space="preserve">The predicate for these standards is section 129 of the Clean Air Act, 42 U.S.C. </w:t>
      </w:r>
      <w:r>
        <w:rPr>
          <w:rFonts w:cs="Times New Roman"/>
          <w:bCs/>
          <w:szCs w:val="24"/>
        </w:rPr>
        <w:t>§</w:t>
      </w:r>
      <w:r>
        <w:rPr>
          <w:rFonts w:cs="Times New Roman"/>
          <w:bCs/>
          <w:szCs w:val="24"/>
        </w:rPr>
        <w:t xml:space="preserve"> 7429</w:t>
      </w:r>
      <w:r>
        <w:rPr>
          <w:rFonts w:cs="Times New Roman"/>
          <w:bCs/>
          <w:szCs w:val="24"/>
        </w:rPr>
        <w:t xml:space="preserve">.  </w:t>
      </w:r>
      <w:r>
        <w:rPr>
          <w:rFonts w:cs="Times New Roman"/>
          <w:bCs/>
          <w:szCs w:val="24"/>
        </w:rPr>
        <w:t>T</w:t>
      </w:r>
      <w:r>
        <w:rPr>
          <w:rFonts w:cs="Times New Roman"/>
          <w:bCs/>
          <w:szCs w:val="24"/>
        </w:rPr>
        <w:t xml:space="preserve">he statute </w:t>
      </w:r>
      <w:r>
        <w:rPr>
          <w:rFonts w:cs="Times New Roman"/>
          <w:bCs/>
          <w:szCs w:val="24"/>
        </w:rPr>
        <w:t xml:space="preserve">requires </w:t>
      </w:r>
      <w:r>
        <w:rPr>
          <w:rFonts w:cs="Times New Roman"/>
          <w:bCs/>
          <w:szCs w:val="24"/>
        </w:rPr>
        <w:t>WTE facilities to achieve “the maximum d</w:t>
      </w:r>
      <w:r>
        <w:rPr>
          <w:rFonts w:cs="Times New Roman"/>
          <w:bCs/>
          <w:szCs w:val="24"/>
        </w:rPr>
        <w:t>egree of reduction in emissions</w:t>
      </w:r>
      <w:r>
        <w:rPr>
          <w:rFonts w:cs="Times New Roman"/>
          <w:bCs/>
          <w:szCs w:val="24"/>
        </w:rPr>
        <w:t xml:space="preserve"> </w:t>
      </w:r>
      <w:r>
        <w:rPr>
          <w:rFonts w:cs="Times New Roman"/>
          <w:bCs/>
          <w:szCs w:val="24"/>
        </w:rPr>
        <w:t>[MDRE]</w:t>
      </w:r>
      <w:r>
        <w:rPr>
          <w:rFonts w:cs="Times New Roman"/>
          <w:bCs/>
          <w:szCs w:val="24"/>
        </w:rPr>
        <w:t>. . . that [EPA] . . . determines is achievable</w:t>
      </w:r>
      <w:r>
        <w:rPr>
          <w:rFonts w:cs="Times New Roman"/>
          <w:bCs/>
          <w:szCs w:val="24"/>
        </w:rPr>
        <w:t xml:space="preserve">” </w:t>
      </w:r>
      <w:r>
        <w:rPr>
          <w:rFonts w:cs="Times New Roman"/>
          <w:bCs/>
          <w:szCs w:val="24"/>
        </w:rPr>
        <w:t>for</w:t>
      </w:r>
      <w:r>
        <w:rPr>
          <w:rFonts w:cs="Times New Roman"/>
          <w:bCs/>
          <w:szCs w:val="24"/>
        </w:rPr>
        <w:t xml:space="preserve"> ten specified air pollutants.  </w:t>
      </w:r>
      <w:r w:rsidRPr="002A1132">
        <w:rPr>
          <w:rFonts w:cs="Times New Roman"/>
          <w:bCs/>
          <w:i/>
          <w:szCs w:val="24"/>
        </w:rPr>
        <w:t>See</w:t>
      </w:r>
      <w:r>
        <w:rPr>
          <w:rFonts w:cs="Times New Roman"/>
          <w:bCs/>
          <w:szCs w:val="24"/>
        </w:rPr>
        <w:t xml:space="preserve"> 42 U.S.C. </w:t>
      </w:r>
      <w:r w:rsidRPr="002A1132">
        <w:rPr>
          <w:rFonts w:cs="Times New Roman"/>
          <w:bCs/>
          <w:szCs w:val="24"/>
        </w:rPr>
        <w:t>§ 7429</w:t>
      </w:r>
      <w:r>
        <w:rPr>
          <w:rFonts w:cs="Times New Roman"/>
          <w:bCs/>
          <w:szCs w:val="24"/>
        </w:rPr>
        <w:t>(a)(2)</w:t>
      </w:r>
      <w:r>
        <w:rPr>
          <w:rFonts w:cs="Times New Roman"/>
          <w:bCs/>
          <w:szCs w:val="24"/>
        </w:rPr>
        <w:t xml:space="preserve"> (</w:t>
      </w:r>
      <w:r>
        <w:rPr>
          <w:rFonts w:cs="Times New Roman"/>
          <w:bCs/>
          <w:szCs w:val="24"/>
        </w:rPr>
        <w:t xml:space="preserve">as an alternative to the acronym </w:t>
      </w:r>
      <w:r>
        <w:rPr>
          <w:rFonts w:cs="Times New Roman"/>
          <w:bCs/>
          <w:szCs w:val="24"/>
        </w:rPr>
        <w:t>“MDRE</w:t>
      </w:r>
      <w:r>
        <w:rPr>
          <w:rFonts w:cs="Times New Roman"/>
          <w:bCs/>
          <w:szCs w:val="24"/>
        </w:rPr>
        <w:t>,</w:t>
      </w:r>
      <w:r>
        <w:rPr>
          <w:rFonts w:cs="Times New Roman"/>
          <w:bCs/>
          <w:szCs w:val="24"/>
        </w:rPr>
        <w:t xml:space="preserve">” </w:t>
      </w:r>
      <w:r>
        <w:rPr>
          <w:rFonts w:cs="Times New Roman"/>
          <w:bCs/>
          <w:szCs w:val="24"/>
        </w:rPr>
        <w:t xml:space="preserve">EPA </w:t>
      </w:r>
      <w:r>
        <w:rPr>
          <w:rFonts w:cs="Times New Roman"/>
          <w:bCs/>
          <w:szCs w:val="24"/>
        </w:rPr>
        <w:t xml:space="preserve">uses </w:t>
      </w:r>
      <w:r>
        <w:rPr>
          <w:rFonts w:cs="Times New Roman"/>
          <w:bCs/>
          <w:szCs w:val="24"/>
        </w:rPr>
        <w:t xml:space="preserve">the </w:t>
      </w:r>
      <w:r>
        <w:rPr>
          <w:rFonts w:cs="Times New Roman"/>
          <w:bCs/>
          <w:szCs w:val="24"/>
        </w:rPr>
        <w:t>term “</w:t>
      </w:r>
      <w:r w:rsidRPr="007145EB">
        <w:rPr>
          <w:rFonts w:cs="Times New Roman"/>
          <w:bCs/>
          <w:szCs w:val="24"/>
        </w:rPr>
        <w:t xml:space="preserve">Maximum Achievable Control </w:t>
      </w:r>
      <w:r w:rsidRPr="007145EB">
        <w:rPr>
          <w:rFonts w:cs="Times New Roman"/>
          <w:bCs/>
          <w:szCs w:val="24"/>
        </w:rPr>
        <w:t>Technology</w:t>
      </w:r>
      <w:r>
        <w:rPr>
          <w:rFonts w:cs="Times New Roman"/>
          <w:bCs/>
          <w:szCs w:val="24"/>
        </w:rPr>
        <w:t>” or “MACT” to describe the</w:t>
      </w:r>
      <w:r>
        <w:rPr>
          <w:rFonts w:cs="Times New Roman"/>
          <w:bCs/>
          <w:szCs w:val="24"/>
        </w:rPr>
        <w:t xml:space="preserve"> section 129 </w:t>
      </w:r>
      <w:r>
        <w:rPr>
          <w:rFonts w:cs="Times New Roman"/>
          <w:bCs/>
          <w:szCs w:val="24"/>
        </w:rPr>
        <w:t>standards</w:t>
      </w:r>
      <w:r>
        <w:rPr>
          <w:rFonts w:cs="Times New Roman"/>
          <w:bCs/>
          <w:szCs w:val="24"/>
        </w:rPr>
        <w:t>)</w:t>
      </w:r>
      <w:r>
        <w:rPr>
          <w:rFonts w:cs="Times New Roman"/>
          <w:bCs/>
          <w:szCs w:val="24"/>
        </w:rPr>
        <w:t>.</w:t>
      </w:r>
      <w:r>
        <w:rPr>
          <w:rStyle w:val="FootnoteReference"/>
          <w:rFonts w:cs="Times New Roman"/>
          <w:bCs/>
          <w:szCs w:val="24"/>
        </w:rPr>
        <w:footnoteReference w:id="4"/>
      </w:r>
      <w:r>
        <w:rPr>
          <w:rFonts w:cs="Times New Roman"/>
          <w:bCs/>
          <w:szCs w:val="24"/>
        </w:rPr>
        <w:t xml:space="preserve">  </w:t>
      </w:r>
      <w:r>
        <w:rPr>
          <w:rFonts w:cs="Times New Roman"/>
          <w:bCs/>
          <w:szCs w:val="24"/>
        </w:rPr>
        <w:t>In establishing and revising the</w:t>
      </w:r>
      <w:r>
        <w:rPr>
          <w:rFonts w:cs="Times New Roman"/>
          <w:bCs/>
          <w:szCs w:val="24"/>
        </w:rPr>
        <w:t xml:space="preserve"> MACT standards, EPA must consider cost, non-air quality health and environmental impacts and energy requirements.  For new WTE facilities, MACT can be no less </w:t>
      </w:r>
      <w:r>
        <w:rPr>
          <w:rFonts w:cs="Times New Roman"/>
          <w:bCs/>
          <w:szCs w:val="24"/>
        </w:rPr>
        <w:t xml:space="preserve">stringent than the </w:t>
      </w:r>
      <w:r>
        <w:rPr>
          <w:rFonts w:cs="Times New Roman"/>
          <w:bCs/>
          <w:szCs w:val="24"/>
        </w:rPr>
        <w:t xml:space="preserve">level of emissions control “achieved in practice by the best controlled similar unit.”  For existing WTE facilities, MACT </w:t>
      </w:r>
      <w:r>
        <w:rPr>
          <w:rFonts w:cs="Times New Roman"/>
          <w:bCs/>
          <w:szCs w:val="24"/>
        </w:rPr>
        <w:t xml:space="preserve">requires the level of emissions control achieved by </w:t>
      </w:r>
      <w:r>
        <w:rPr>
          <w:rFonts w:cs="Times New Roman"/>
          <w:bCs/>
          <w:szCs w:val="24"/>
        </w:rPr>
        <w:t xml:space="preserve">averaging </w:t>
      </w:r>
      <w:r>
        <w:rPr>
          <w:rFonts w:cs="Times New Roman"/>
          <w:bCs/>
          <w:szCs w:val="24"/>
        </w:rPr>
        <w:t xml:space="preserve">the </w:t>
      </w:r>
      <w:r>
        <w:rPr>
          <w:rFonts w:cs="Times New Roman"/>
          <w:bCs/>
          <w:szCs w:val="24"/>
        </w:rPr>
        <w:t>“</w:t>
      </w:r>
      <w:r>
        <w:rPr>
          <w:rFonts w:cs="Times New Roman"/>
          <w:bCs/>
          <w:szCs w:val="24"/>
        </w:rPr>
        <w:t xml:space="preserve">best performing 12 percent of units in the same </w:t>
      </w:r>
      <w:r>
        <w:rPr>
          <w:rFonts w:cs="Times New Roman"/>
          <w:bCs/>
          <w:szCs w:val="24"/>
        </w:rPr>
        <w:t>category</w:t>
      </w:r>
      <w:r>
        <w:rPr>
          <w:rFonts w:cs="Times New Roman"/>
          <w:bCs/>
          <w:szCs w:val="24"/>
        </w:rPr>
        <w:t>.</w:t>
      </w:r>
      <w:r>
        <w:rPr>
          <w:rFonts w:cs="Times New Roman"/>
          <w:bCs/>
          <w:szCs w:val="24"/>
        </w:rPr>
        <w:t>”</w:t>
      </w:r>
      <w:r>
        <w:rPr>
          <w:rFonts w:cs="Times New Roman"/>
          <w:bCs/>
          <w:szCs w:val="24"/>
        </w:rPr>
        <w:t xml:space="preserve">  </w:t>
      </w:r>
      <w:r>
        <w:rPr>
          <w:rFonts w:cs="Times New Roman"/>
          <w:bCs/>
          <w:szCs w:val="24"/>
        </w:rPr>
        <w:t xml:space="preserve">To assure compliance with the MACT standards, EPA’s regulations implementing section 129 </w:t>
      </w:r>
      <w:r>
        <w:rPr>
          <w:rFonts w:cs="Times New Roman"/>
          <w:bCs/>
          <w:szCs w:val="24"/>
        </w:rPr>
        <w:t xml:space="preserve">include detailed requirements for compliance and performance testing together with comprehensive </w:t>
      </w:r>
      <w:r>
        <w:rPr>
          <w:rFonts w:cs="Times New Roman"/>
          <w:bCs/>
          <w:szCs w:val="24"/>
        </w:rPr>
        <w:t xml:space="preserve">emissions </w:t>
      </w:r>
      <w:r>
        <w:rPr>
          <w:rFonts w:cs="Times New Roman"/>
          <w:bCs/>
          <w:szCs w:val="24"/>
        </w:rPr>
        <w:t xml:space="preserve">reporting and recordkeeping </w:t>
      </w:r>
      <w:r>
        <w:rPr>
          <w:rFonts w:cs="Times New Roman"/>
          <w:bCs/>
          <w:szCs w:val="24"/>
        </w:rPr>
        <w:t>and</w:t>
      </w:r>
      <w:r>
        <w:rPr>
          <w:rFonts w:cs="Times New Roman"/>
          <w:bCs/>
          <w:szCs w:val="24"/>
        </w:rPr>
        <w:t xml:space="preserve"> operator training </w:t>
      </w:r>
      <w:r>
        <w:rPr>
          <w:rFonts w:cs="Times New Roman"/>
          <w:bCs/>
          <w:szCs w:val="24"/>
        </w:rPr>
        <w:t>standards</w:t>
      </w:r>
      <w:r>
        <w:rPr>
          <w:rFonts w:cs="Times New Roman"/>
          <w:bCs/>
          <w:szCs w:val="24"/>
        </w:rPr>
        <w:t>.</w:t>
      </w:r>
      <w:r>
        <w:rPr>
          <w:rFonts w:cs="Times New Roman"/>
          <w:bCs/>
          <w:szCs w:val="24"/>
        </w:rPr>
        <w:t xml:space="preserve">  </w:t>
      </w:r>
      <w:r w:rsidRPr="00E075E2">
        <w:rPr>
          <w:rFonts w:cs="Times New Roman"/>
          <w:bCs/>
          <w:i/>
          <w:szCs w:val="24"/>
        </w:rPr>
        <w:t>See, e.g.</w:t>
      </w:r>
      <w:r>
        <w:rPr>
          <w:rFonts w:cs="Times New Roman"/>
          <w:bCs/>
          <w:szCs w:val="24"/>
        </w:rPr>
        <w:t>, 40 C.F.R. §§ 60.54b and 60.58b.</w:t>
      </w:r>
    </w:p>
    <w:p w:rsidR="00874824" w:rsidRPr="00874824" w:rsidRDefault="008941F4" w:rsidP="00874824">
      <w:pPr>
        <w:spacing w:line="480" w:lineRule="auto"/>
        <w:jc w:val="both"/>
        <w:rPr>
          <w:rFonts w:cs="Times New Roman"/>
          <w:bCs/>
          <w:szCs w:val="24"/>
        </w:rPr>
      </w:pPr>
      <w:r>
        <w:rPr>
          <w:rFonts w:cs="Times New Roman"/>
          <w:bCs/>
          <w:szCs w:val="24"/>
        </w:rPr>
        <w:tab/>
      </w:r>
      <w:r w:rsidRPr="00ED3B84">
        <w:rPr>
          <w:rFonts w:cs="Times New Roman"/>
          <w:bCs/>
          <w:szCs w:val="24"/>
        </w:rPr>
        <w:t>As EPA has emphasized, the level of emissions control achieved by modern WTE facilities “has been outstanding,” with emission reductions for various p</w:t>
      </w:r>
      <w:r w:rsidRPr="00ED3B84">
        <w:rPr>
          <w:rFonts w:cs="Times New Roman"/>
          <w:bCs/>
          <w:szCs w:val="24"/>
        </w:rPr>
        <w:t xml:space="preserve">ollutants in the 96-99% range </w:t>
      </w:r>
      <w:r>
        <w:rPr>
          <w:rFonts w:cs="Times New Roman"/>
          <w:bCs/>
          <w:szCs w:val="24"/>
        </w:rPr>
        <w:t>following</w:t>
      </w:r>
      <w:r w:rsidRPr="00ED3B84">
        <w:rPr>
          <w:rFonts w:cs="Times New Roman"/>
          <w:bCs/>
          <w:szCs w:val="24"/>
        </w:rPr>
        <w:t xml:space="preserve"> implementation of MACT standards in the early 1990’s together with </w:t>
      </w:r>
      <w:r>
        <w:rPr>
          <w:rFonts w:cs="Times New Roman"/>
          <w:bCs/>
          <w:szCs w:val="24"/>
        </w:rPr>
        <w:t xml:space="preserve">the </w:t>
      </w:r>
      <w:r w:rsidRPr="00ED3B84">
        <w:rPr>
          <w:rFonts w:cs="Times New Roman"/>
          <w:bCs/>
          <w:szCs w:val="24"/>
        </w:rPr>
        <w:t xml:space="preserve">subsequent </w:t>
      </w:r>
      <w:r w:rsidRPr="00ED3B84">
        <w:rPr>
          <w:rFonts w:cs="Times New Roman"/>
          <w:bCs/>
          <w:szCs w:val="24"/>
        </w:rPr>
        <w:lastRenderedPageBreak/>
        <w:t>increases in the str</w:t>
      </w:r>
      <w:r>
        <w:rPr>
          <w:rFonts w:cs="Times New Roman"/>
          <w:bCs/>
          <w:szCs w:val="24"/>
        </w:rPr>
        <w:t xml:space="preserve">ingency of the MACT standards.  </w:t>
      </w:r>
      <w:r w:rsidRPr="00874824">
        <w:rPr>
          <w:rFonts w:cs="Times New Roman"/>
          <w:bCs/>
          <w:szCs w:val="24"/>
        </w:rPr>
        <w:t>A</w:t>
      </w:r>
      <w:r>
        <w:rPr>
          <w:rFonts w:cs="Times New Roman"/>
          <w:bCs/>
          <w:szCs w:val="24"/>
        </w:rPr>
        <w:t xml:space="preserve">n </w:t>
      </w:r>
      <w:r w:rsidRPr="00874824">
        <w:rPr>
          <w:rFonts w:cs="Times New Roman"/>
          <w:bCs/>
          <w:szCs w:val="24"/>
        </w:rPr>
        <w:t xml:space="preserve">EPA </w:t>
      </w:r>
      <w:r>
        <w:rPr>
          <w:rFonts w:cs="Times New Roman"/>
          <w:bCs/>
          <w:szCs w:val="24"/>
        </w:rPr>
        <w:t>memorandum addresses this point as follows</w:t>
      </w:r>
      <w:r w:rsidRPr="00874824">
        <w:rPr>
          <w:rFonts w:cs="Times New Roman"/>
          <w:bCs/>
          <w:szCs w:val="24"/>
        </w:rPr>
        <w:t>:</w:t>
      </w:r>
    </w:p>
    <w:p w:rsidR="00874824" w:rsidRPr="00874824" w:rsidRDefault="008941F4" w:rsidP="00E63F8D">
      <w:pPr>
        <w:spacing w:after="240"/>
        <w:ind w:left="720" w:right="720"/>
        <w:jc w:val="both"/>
        <w:rPr>
          <w:rFonts w:cs="Times New Roman"/>
          <w:bCs/>
          <w:szCs w:val="24"/>
        </w:rPr>
      </w:pPr>
      <w:r w:rsidRPr="00874824">
        <w:rPr>
          <w:rFonts w:cs="Times New Roman"/>
          <w:bCs/>
          <w:szCs w:val="24"/>
        </w:rPr>
        <w:t>The performance of the MACT ret</w:t>
      </w:r>
      <w:r w:rsidRPr="00874824">
        <w:rPr>
          <w:rFonts w:cs="Times New Roman"/>
          <w:bCs/>
          <w:szCs w:val="24"/>
        </w:rPr>
        <w:t xml:space="preserve">rofits has been outstanding.  </w:t>
      </w:r>
      <w:r>
        <w:rPr>
          <w:rFonts w:cs="Times New Roman"/>
          <w:bCs/>
          <w:szCs w:val="24"/>
        </w:rPr>
        <w:t>***</w:t>
      </w:r>
      <w:r w:rsidRPr="00874824">
        <w:rPr>
          <w:rFonts w:cs="Times New Roman"/>
          <w:bCs/>
          <w:szCs w:val="24"/>
        </w:rPr>
        <w:t>.  Of particular interest are dioxin/furan and mercury emissions.  Since 1990 (pre-MACT conditions), dioxin/furan emissions from large and small MWCs have been reduced by more than 99 percent, and mercury emissions have bee</w:t>
      </w:r>
      <w:r w:rsidRPr="00874824">
        <w:rPr>
          <w:rFonts w:cs="Times New Roman"/>
          <w:bCs/>
          <w:szCs w:val="24"/>
        </w:rPr>
        <w:t>n reduced by more than 96 percent.  Dioxin/furan emissions have been reduced to 15 grams per year and mercury emissions reduced to 2.3 tons/year.</w:t>
      </w:r>
    </w:p>
    <w:p w:rsidR="005426AA" w:rsidRDefault="008941F4" w:rsidP="006277E0">
      <w:pPr>
        <w:spacing w:line="480" w:lineRule="auto"/>
        <w:jc w:val="both"/>
        <w:rPr>
          <w:rFonts w:cs="Times New Roman"/>
          <w:bCs/>
          <w:szCs w:val="24"/>
        </w:rPr>
      </w:pPr>
      <w:r w:rsidRPr="00874824">
        <w:rPr>
          <w:rFonts w:cs="Times New Roman"/>
          <w:bCs/>
          <w:i/>
          <w:szCs w:val="24"/>
        </w:rPr>
        <w:t>See</w:t>
      </w:r>
      <w:r w:rsidRPr="00874824">
        <w:rPr>
          <w:rFonts w:cs="Times New Roman"/>
          <w:bCs/>
          <w:szCs w:val="24"/>
        </w:rPr>
        <w:t xml:space="preserve"> </w:t>
      </w:r>
      <w:hyperlink r:id="rId13" w:anchor="!documentDetail;D=EPA-HQ-OAR-2005-0117-0164" w:history="1">
        <w:r w:rsidRPr="00874824">
          <w:rPr>
            <w:rStyle w:val="Hyperlink"/>
            <w:rFonts w:cs="Times New Roman"/>
            <w:bCs/>
            <w:szCs w:val="24"/>
          </w:rPr>
          <w:t>http://www.regul</w:t>
        </w:r>
        <w:r w:rsidRPr="00874824">
          <w:rPr>
            <w:rStyle w:val="Hyperlink"/>
            <w:rFonts w:cs="Times New Roman"/>
            <w:bCs/>
            <w:szCs w:val="24"/>
          </w:rPr>
          <w:t>ations.gov/#!documentDetail;D=EPA-HQ-OAR-2005-0117-0164</w:t>
        </w:r>
      </w:hyperlink>
      <w:r w:rsidRPr="00874824">
        <w:rPr>
          <w:rFonts w:cs="Times New Roman"/>
          <w:bCs/>
          <w:szCs w:val="24"/>
        </w:rPr>
        <w:t>.</w:t>
      </w:r>
      <w:r>
        <w:rPr>
          <w:rStyle w:val="FootnoteReference"/>
          <w:rFonts w:cs="Times New Roman"/>
          <w:bCs/>
          <w:szCs w:val="24"/>
        </w:rPr>
        <w:footnoteReference w:id="5"/>
      </w:r>
    </w:p>
    <w:p w:rsidR="006573CE" w:rsidRPr="006573CE" w:rsidRDefault="008941F4" w:rsidP="006573CE">
      <w:pPr>
        <w:spacing w:line="480" w:lineRule="auto"/>
        <w:jc w:val="both"/>
        <w:rPr>
          <w:rFonts w:cs="Times New Roman"/>
          <w:bCs/>
          <w:szCs w:val="24"/>
        </w:rPr>
      </w:pPr>
      <w:r>
        <w:rPr>
          <w:rFonts w:cs="Times New Roman"/>
          <w:bCs/>
          <w:szCs w:val="24"/>
        </w:rPr>
        <w:tab/>
      </w:r>
      <w:r w:rsidRPr="00874824">
        <w:rPr>
          <w:rFonts w:cs="Times New Roman"/>
          <w:bCs/>
          <w:szCs w:val="24"/>
        </w:rPr>
        <w:t>The significant WTE emission reductions that have been achieved are perhaps best demonstrated by comparing the figures in the</w:t>
      </w:r>
      <w:r>
        <w:rPr>
          <w:rFonts w:cs="Times New Roman"/>
          <w:bCs/>
          <w:szCs w:val="24"/>
        </w:rPr>
        <w:t xml:space="preserve"> preceding </w:t>
      </w:r>
      <w:r w:rsidRPr="00874824">
        <w:rPr>
          <w:rFonts w:cs="Times New Roman"/>
          <w:bCs/>
          <w:szCs w:val="24"/>
        </w:rPr>
        <w:t xml:space="preserve">quotation with earlier emission levels.  For </w:t>
      </w:r>
      <w:r w:rsidRPr="00874824">
        <w:rPr>
          <w:rFonts w:cs="Times New Roman"/>
          <w:bCs/>
          <w:szCs w:val="24"/>
        </w:rPr>
        <w:t>example, pre-1990 annual WTE dioxins/furans emissions in the U.S. were 4,400 grams, but those emissions were subsequently reduced to 15 grams per year by 2005.</w:t>
      </w:r>
      <w:r>
        <w:rPr>
          <w:rStyle w:val="FootnoteReference"/>
          <w:rFonts w:cs="Times New Roman"/>
          <w:bCs/>
          <w:szCs w:val="24"/>
        </w:rPr>
        <w:footnoteReference w:id="6"/>
      </w:r>
      <w:r w:rsidRPr="00874824">
        <w:rPr>
          <w:rFonts w:cs="Times New Roman"/>
          <w:bCs/>
          <w:szCs w:val="24"/>
        </w:rPr>
        <w:t xml:space="preserve">  </w:t>
      </w:r>
      <w:r>
        <w:rPr>
          <w:rFonts w:cs="Times New Roman"/>
          <w:bCs/>
          <w:szCs w:val="24"/>
        </w:rPr>
        <w:t xml:space="preserve">Annual </w:t>
      </w:r>
      <w:r>
        <w:rPr>
          <w:rFonts w:cs="Times New Roman"/>
          <w:bCs/>
          <w:szCs w:val="24"/>
        </w:rPr>
        <w:t xml:space="preserve">WTE dioxin emissions in the U.S. </w:t>
      </w:r>
      <w:r>
        <w:rPr>
          <w:rFonts w:cs="Times New Roman"/>
          <w:bCs/>
          <w:szCs w:val="24"/>
        </w:rPr>
        <w:t xml:space="preserve">today </w:t>
      </w:r>
      <w:r>
        <w:rPr>
          <w:rFonts w:cs="Times New Roman"/>
          <w:bCs/>
          <w:szCs w:val="24"/>
        </w:rPr>
        <w:t xml:space="preserve">are so low </w:t>
      </w:r>
      <w:r>
        <w:rPr>
          <w:rFonts w:cs="Times New Roman"/>
          <w:bCs/>
          <w:szCs w:val="24"/>
        </w:rPr>
        <w:t xml:space="preserve">that </w:t>
      </w:r>
      <w:r>
        <w:rPr>
          <w:rFonts w:cs="Times New Roman"/>
          <w:bCs/>
          <w:szCs w:val="24"/>
        </w:rPr>
        <w:t>100 years of WTE dioxin emission</w:t>
      </w:r>
      <w:r>
        <w:rPr>
          <w:rFonts w:cs="Times New Roman"/>
          <w:bCs/>
          <w:szCs w:val="24"/>
        </w:rPr>
        <w:t xml:space="preserve">s is equal to </w:t>
      </w:r>
      <w:r>
        <w:rPr>
          <w:rFonts w:cs="Times New Roman"/>
          <w:bCs/>
          <w:szCs w:val="24"/>
        </w:rPr>
        <w:t xml:space="preserve">the dioxin exposure from </w:t>
      </w:r>
      <w:r w:rsidRPr="00812052">
        <w:rPr>
          <w:rFonts w:cs="Times New Roman"/>
          <w:bCs/>
          <w:szCs w:val="24"/>
        </w:rPr>
        <w:t>attending a fireworks exhibit for 15 minutes</w:t>
      </w:r>
      <w:r>
        <w:rPr>
          <w:rFonts w:cs="Times New Roman"/>
          <w:bCs/>
          <w:szCs w:val="24"/>
        </w:rPr>
        <w:t xml:space="preserve">.  </w:t>
      </w:r>
      <w:r w:rsidRPr="00DB2F81">
        <w:rPr>
          <w:rFonts w:cs="Times New Roman"/>
          <w:bCs/>
          <w:i/>
          <w:szCs w:val="24"/>
        </w:rPr>
        <w:t>See</w:t>
      </w:r>
      <w:r>
        <w:rPr>
          <w:rFonts w:cs="Times New Roman"/>
          <w:bCs/>
          <w:szCs w:val="24"/>
        </w:rPr>
        <w:t xml:space="preserve"> [</w:t>
      </w:r>
      <w:r w:rsidRPr="00DB2F81">
        <w:rPr>
          <w:rFonts w:cs="Times New Roman"/>
          <w:bCs/>
          <w:iCs/>
          <w:szCs w:val="24"/>
          <w:highlight w:val="yellow"/>
        </w:rPr>
        <w:t>add citation and URL for Marco Castaldi’s 3/29/18 PowerPoint, slide 23</w:t>
      </w:r>
      <w:r w:rsidRPr="00DB2F81">
        <w:rPr>
          <w:rFonts w:cs="Times New Roman"/>
          <w:bCs/>
          <w:iCs/>
          <w:szCs w:val="24"/>
        </w:rPr>
        <w:t>].</w:t>
      </w:r>
      <w:r>
        <w:rPr>
          <w:rFonts w:cs="Times New Roman"/>
          <w:bCs/>
          <w:iCs/>
          <w:szCs w:val="24"/>
        </w:rPr>
        <w:t xml:space="preserve">  </w:t>
      </w:r>
      <w:r w:rsidRPr="00874824">
        <w:rPr>
          <w:rFonts w:cs="Times New Roman"/>
          <w:bCs/>
          <w:szCs w:val="24"/>
        </w:rPr>
        <w:t xml:space="preserve">Similarly, pre-1990 annual WTE mercury </w:t>
      </w:r>
      <w:r w:rsidRPr="00874824">
        <w:rPr>
          <w:rFonts w:cs="Times New Roman"/>
          <w:bCs/>
          <w:szCs w:val="24"/>
        </w:rPr>
        <w:lastRenderedPageBreak/>
        <w:t>emissions were 57 tons, which was reduced to just 2.</w:t>
      </w:r>
      <w:r w:rsidRPr="00874824">
        <w:rPr>
          <w:rFonts w:cs="Times New Roman"/>
          <w:bCs/>
          <w:szCs w:val="24"/>
        </w:rPr>
        <w:t xml:space="preserve">3 tons by 2005 </w:t>
      </w:r>
      <w:r w:rsidRPr="00091448">
        <w:rPr>
          <w:rFonts w:cs="Times New Roman"/>
          <w:bCs/>
          <w:szCs w:val="24"/>
          <w:highlight w:val="yellow"/>
        </w:rPr>
        <w:t>and has further declined in the intervening years</w:t>
      </w:r>
      <w:r>
        <w:rPr>
          <w:rFonts w:cs="Times New Roman"/>
          <w:bCs/>
          <w:szCs w:val="24"/>
          <w:highlight w:val="yellow"/>
        </w:rPr>
        <w:t xml:space="preserve">. </w:t>
      </w:r>
      <w:r w:rsidRPr="00091448">
        <w:rPr>
          <w:rFonts w:cs="Times New Roman"/>
          <w:bCs/>
          <w:szCs w:val="24"/>
          <w:highlight w:val="yellow"/>
        </w:rPr>
        <w:t>[smd note</w:t>
      </w:r>
      <w:r>
        <w:rPr>
          <w:rFonts w:cs="Times New Roman"/>
          <w:bCs/>
          <w:szCs w:val="24"/>
          <w:highlight w:val="yellow"/>
        </w:rPr>
        <w:t>: check with CCNY for a more recent citation</w:t>
      </w:r>
      <w:r w:rsidRPr="00874824">
        <w:rPr>
          <w:rFonts w:cs="Times New Roman"/>
          <w:bCs/>
          <w:szCs w:val="24"/>
        </w:rPr>
        <w:t>].</w:t>
      </w:r>
      <w:r>
        <w:rPr>
          <w:rFonts w:cs="Times New Roman"/>
          <w:bCs/>
          <w:szCs w:val="24"/>
        </w:rPr>
        <w:t xml:space="preserve">  </w:t>
      </w:r>
      <w:r>
        <w:rPr>
          <w:rFonts w:cs="Times New Roman"/>
          <w:bCs/>
          <w:szCs w:val="24"/>
        </w:rPr>
        <w:t>Needless to say, these very strong environmental protection measures did not occur in a vacuum, and instead r</w:t>
      </w:r>
      <w:r w:rsidRPr="00ED3B84">
        <w:rPr>
          <w:rFonts w:cs="Times New Roman"/>
          <w:bCs/>
          <w:szCs w:val="24"/>
        </w:rPr>
        <w:t xml:space="preserve">eflect </w:t>
      </w:r>
      <w:r>
        <w:rPr>
          <w:rFonts w:cs="Times New Roman"/>
          <w:bCs/>
          <w:szCs w:val="24"/>
        </w:rPr>
        <w:t xml:space="preserve">increasingly stringent </w:t>
      </w:r>
      <w:r w:rsidRPr="00ED3B84">
        <w:rPr>
          <w:rFonts w:cs="Times New Roman"/>
          <w:bCs/>
          <w:szCs w:val="24"/>
        </w:rPr>
        <w:t>state and federal requirements for the most advanced emissions control technology</w:t>
      </w:r>
      <w:r>
        <w:rPr>
          <w:rFonts w:cs="Times New Roman"/>
          <w:bCs/>
          <w:szCs w:val="24"/>
        </w:rPr>
        <w:t xml:space="preserve">.  </w:t>
      </w:r>
      <w:r>
        <w:rPr>
          <w:rFonts w:cs="Times New Roman"/>
          <w:bCs/>
          <w:szCs w:val="24"/>
        </w:rPr>
        <w:t xml:space="preserve">This is the context in which </w:t>
      </w:r>
      <w:r w:rsidRPr="006573CE">
        <w:rPr>
          <w:rFonts w:cs="Times New Roman"/>
          <w:bCs/>
          <w:szCs w:val="24"/>
        </w:rPr>
        <w:t>the National Renewable Energy Laboratory</w:t>
      </w:r>
      <w:r>
        <w:rPr>
          <w:rFonts w:cs="Times New Roman"/>
          <w:bCs/>
          <w:szCs w:val="24"/>
        </w:rPr>
        <w:t xml:space="preserve"> describes</w:t>
      </w:r>
      <w:r w:rsidRPr="006573CE">
        <w:rPr>
          <w:rFonts w:cs="Times New Roman"/>
          <w:bCs/>
          <w:szCs w:val="24"/>
        </w:rPr>
        <w:t xml:space="preserve"> the EPA</w:t>
      </w:r>
      <w:r>
        <w:rPr>
          <w:rFonts w:cs="Times New Roman"/>
          <w:bCs/>
          <w:szCs w:val="24"/>
        </w:rPr>
        <w:t>’s</w:t>
      </w:r>
      <w:r w:rsidRPr="006573CE">
        <w:rPr>
          <w:rFonts w:cs="Times New Roman"/>
          <w:bCs/>
          <w:szCs w:val="24"/>
        </w:rPr>
        <w:t xml:space="preserve"> emission standards for WTE facilities as “the most stringen</w:t>
      </w:r>
      <w:r w:rsidRPr="006573CE">
        <w:rPr>
          <w:rFonts w:cs="Times New Roman"/>
          <w:bCs/>
          <w:szCs w:val="24"/>
        </w:rPr>
        <w:t xml:space="preserve">t in the world.”  </w:t>
      </w:r>
      <w:r w:rsidRPr="006573CE">
        <w:rPr>
          <w:rFonts w:cs="Times New Roman"/>
          <w:bCs/>
          <w:i/>
          <w:szCs w:val="24"/>
        </w:rPr>
        <w:t>Waste Not, Want Not: Analyzing the Economic and Environmental Viability of Waste-to-Energy (WTE) Technology for Site-Specific Optimization of Renewable Energy Options</w:t>
      </w:r>
      <w:r w:rsidRPr="006573CE">
        <w:rPr>
          <w:rFonts w:cs="Times New Roman"/>
          <w:bCs/>
          <w:szCs w:val="24"/>
        </w:rPr>
        <w:t xml:space="preserve">, NREL/TP-6A50-52829, p. 2, February 2013, </w:t>
      </w:r>
      <w:hyperlink r:id="rId14" w:history="1">
        <w:r w:rsidRPr="006573CE">
          <w:rPr>
            <w:rStyle w:val="Hyperlink"/>
            <w:rFonts w:cs="Times New Roman"/>
            <w:bCs/>
            <w:szCs w:val="24"/>
          </w:rPr>
          <w:t>http://www.nrel.gov/docs/fy13osti/52829.pdf</w:t>
        </w:r>
      </w:hyperlink>
      <w:r w:rsidRPr="006573CE">
        <w:rPr>
          <w:rFonts w:cs="Times New Roman"/>
          <w:bCs/>
          <w:szCs w:val="24"/>
        </w:rPr>
        <w:t>.</w:t>
      </w:r>
    </w:p>
    <w:p w:rsidR="006277E0" w:rsidRDefault="008941F4" w:rsidP="006277E0">
      <w:pPr>
        <w:spacing w:line="480" w:lineRule="auto"/>
        <w:jc w:val="both"/>
        <w:rPr>
          <w:rFonts w:cs="Times New Roman"/>
          <w:szCs w:val="24"/>
        </w:rPr>
      </w:pPr>
      <w:r>
        <w:rPr>
          <w:rFonts w:cs="Times New Roman"/>
          <w:bCs/>
          <w:szCs w:val="24"/>
        </w:rPr>
        <w:tab/>
        <w:t xml:space="preserve">In addition, </w:t>
      </w:r>
      <w:r w:rsidRPr="00ED3B84">
        <w:rPr>
          <w:rFonts w:cs="Times New Roman"/>
          <w:bCs/>
          <w:szCs w:val="24"/>
        </w:rPr>
        <w:t xml:space="preserve">EPA’s analysis shows that </w:t>
      </w:r>
      <w:r w:rsidRPr="00ED3B84">
        <w:rPr>
          <w:rFonts w:cs="Times New Roman"/>
          <w:szCs w:val="24"/>
        </w:rPr>
        <w:t xml:space="preserve">WTE yields the best results </w:t>
      </w:r>
      <w:r>
        <w:rPr>
          <w:rFonts w:cs="Times New Roman"/>
          <w:szCs w:val="24"/>
        </w:rPr>
        <w:t>‒</w:t>
      </w:r>
      <w:r>
        <w:rPr>
          <w:rFonts w:cs="Times New Roman"/>
          <w:szCs w:val="24"/>
        </w:rPr>
        <w:t xml:space="preserve"> </w:t>
      </w:r>
      <w:r w:rsidRPr="00ED3B84">
        <w:rPr>
          <w:rFonts w:cs="Times New Roman"/>
          <w:szCs w:val="24"/>
        </w:rPr>
        <w:t xml:space="preserve">compared to landfills </w:t>
      </w:r>
      <w:r>
        <w:rPr>
          <w:rFonts w:cs="Times New Roman"/>
          <w:szCs w:val="24"/>
        </w:rPr>
        <w:t>‒</w:t>
      </w:r>
      <w:r>
        <w:rPr>
          <w:rFonts w:cs="Times New Roman"/>
          <w:szCs w:val="24"/>
        </w:rPr>
        <w:t xml:space="preserve"> </w:t>
      </w:r>
      <w:r w:rsidRPr="00ED3B84">
        <w:rPr>
          <w:rFonts w:cs="Times New Roman"/>
          <w:szCs w:val="24"/>
        </w:rPr>
        <w:t>in terms of maximum energy recovery and lowest GHG and criteria pollutant emissions</w:t>
      </w:r>
      <w:r>
        <w:rPr>
          <w:rFonts w:cs="Times New Roman"/>
          <w:szCs w:val="24"/>
        </w:rPr>
        <w:t xml:space="preserve">.  </w:t>
      </w:r>
      <w:r w:rsidRPr="00ED3B84">
        <w:rPr>
          <w:rFonts w:cs="Times New Roman"/>
          <w:i/>
          <w:szCs w:val="24"/>
        </w:rPr>
        <w:t>Is it Better to Burn or Bury for Clean Electricity Generation?</w:t>
      </w:r>
      <w:r w:rsidRPr="00ED3B84">
        <w:rPr>
          <w:rFonts w:cs="Times New Roman"/>
          <w:szCs w:val="24"/>
        </w:rPr>
        <w:t xml:space="preserve">, pp. 1711-14, </w:t>
      </w:r>
      <w:r>
        <w:rPr>
          <w:rFonts w:cs="Times New Roman"/>
          <w:szCs w:val="24"/>
        </w:rPr>
        <w:t xml:space="preserve">1716-17, </w:t>
      </w:r>
      <w:hyperlink r:id="rId15" w:history="1">
        <w:r w:rsidRPr="00611D13">
          <w:rPr>
            <w:rStyle w:val="Hyperlink"/>
            <w:rFonts w:cs="Times New Roman"/>
            <w:szCs w:val="24"/>
          </w:rPr>
          <w:t>http://pubs.acs.org/doi/pdf/10.1021/es802395e</w:t>
        </w:r>
      </w:hyperlink>
      <w:r w:rsidRPr="00ED3B84">
        <w:rPr>
          <w:rFonts w:cs="Times New Roman"/>
          <w:szCs w:val="24"/>
        </w:rPr>
        <w:t xml:space="preserve"> (hereafter “</w:t>
      </w:r>
      <w:r w:rsidRPr="00ED3B84">
        <w:rPr>
          <w:rFonts w:cs="Times New Roman"/>
          <w:i/>
          <w:szCs w:val="24"/>
        </w:rPr>
        <w:t>Better to Burn or Bury</w:t>
      </w:r>
      <w:r w:rsidRPr="00ED3B84">
        <w:rPr>
          <w:rFonts w:cs="Times New Roman"/>
          <w:szCs w:val="24"/>
        </w:rPr>
        <w:t>”)</w:t>
      </w:r>
      <w:r>
        <w:rPr>
          <w:rFonts w:cs="Times New Roman"/>
          <w:szCs w:val="24"/>
        </w:rPr>
        <w:t>.</w:t>
      </w:r>
      <w:r>
        <w:rPr>
          <w:rStyle w:val="FootnoteReference"/>
          <w:rFonts w:cs="Times New Roman"/>
          <w:szCs w:val="24"/>
        </w:rPr>
        <w:footnoteReference w:id="7"/>
      </w:r>
      <w:r>
        <w:rPr>
          <w:rFonts w:cs="Times New Roman"/>
          <w:szCs w:val="24"/>
        </w:rPr>
        <w:t xml:space="preserve">  In fact, </w:t>
      </w:r>
      <w:r w:rsidRPr="00041550">
        <w:rPr>
          <w:rFonts w:cs="Times New Roman"/>
          <w:bCs/>
          <w:szCs w:val="24"/>
        </w:rPr>
        <w:t>WTE emissions</w:t>
      </w:r>
      <w:r w:rsidRPr="00041550">
        <w:rPr>
          <w:rFonts w:cs="Times New Roman"/>
          <w:bCs/>
          <w:szCs w:val="24"/>
        </w:rPr>
        <w:t xml:space="preserve"> are lower than landfill emissions for 9 of 10 major air pollutants.  </w:t>
      </w:r>
      <w:r w:rsidRPr="00041550">
        <w:rPr>
          <w:rFonts w:cs="Times New Roman"/>
          <w:bCs/>
          <w:i/>
          <w:szCs w:val="24"/>
        </w:rPr>
        <w:t>Life After Fresh Kills</w:t>
      </w:r>
      <w:r w:rsidRPr="00041550">
        <w:rPr>
          <w:rFonts w:cs="Times New Roman"/>
          <w:bCs/>
          <w:szCs w:val="24"/>
        </w:rPr>
        <w:t xml:space="preserve">, Part B, Summary and p. B-30.  </w:t>
      </w:r>
      <w:hyperlink r:id="rId16" w:history="1">
        <w:r w:rsidRPr="00041550">
          <w:rPr>
            <w:rStyle w:val="Hyperlink"/>
            <w:rFonts w:cs="Times New Roman"/>
            <w:bCs/>
            <w:szCs w:val="24"/>
          </w:rPr>
          <w:t>http://www.seas.columbia.edu/earth/EEC-SIPA-report-NYC-Dec11.pdf</w:t>
        </w:r>
      </w:hyperlink>
      <w:r w:rsidRPr="00041550">
        <w:rPr>
          <w:rFonts w:cs="Times New Roman"/>
          <w:bCs/>
          <w:szCs w:val="24"/>
        </w:rPr>
        <w:t xml:space="preserve"> (hereafter “</w:t>
      </w:r>
      <w:r w:rsidRPr="00041550">
        <w:rPr>
          <w:rFonts w:cs="Times New Roman"/>
          <w:bCs/>
          <w:i/>
          <w:iCs/>
          <w:szCs w:val="24"/>
        </w:rPr>
        <w:t>Life After Fresh Kills</w:t>
      </w:r>
      <w:r w:rsidRPr="00041550">
        <w:rPr>
          <w:rFonts w:cs="Times New Roman"/>
          <w:bCs/>
          <w:szCs w:val="24"/>
        </w:rPr>
        <w:t xml:space="preserve">”).  </w:t>
      </w:r>
    </w:p>
    <w:p w:rsidR="00946F4E" w:rsidRDefault="008941F4" w:rsidP="006277E0">
      <w:pPr>
        <w:spacing w:line="480" w:lineRule="auto"/>
        <w:jc w:val="both"/>
        <w:rPr>
          <w:rFonts w:cs="Times New Roman"/>
          <w:szCs w:val="24"/>
        </w:rPr>
      </w:pPr>
      <w:r>
        <w:rPr>
          <w:rFonts w:cs="Times New Roman"/>
          <w:szCs w:val="24"/>
        </w:rPr>
        <w:tab/>
      </w:r>
      <w:r w:rsidRPr="00ED3B84">
        <w:rPr>
          <w:rFonts w:cs="Times New Roman"/>
          <w:szCs w:val="24"/>
        </w:rPr>
        <w:t>WTE’s efficiency and reliability are clear as well</w:t>
      </w:r>
      <w:r>
        <w:rPr>
          <w:rFonts w:cs="Times New Roman"/>
          <w:szCs w:val="24"/>
        </w:rPr>
        <w:t xml:space="preserve">.  Thus, </w:t>
      </w:r>
      <w:r w:rsidRPr="00ED3B84">
        <w:rPr>
          <w:rFonts w:cs="Times New Roman"/>
          <w:szCs w:val="24"/>
        </w:rPr>
        <w:t>WTE recove</w:t>
      </w:r>
      <w:r w:rsidRPr="00ED3B84">
        <w:rPr>
          <w:rFonts w:cs="Times New Roman"/>
          <w:szCs w:val="24"/>
        </w:rPr>
        <w:t xml:space="preserve">rs approximately 600 </w:t>
      </w:r>
      <w:r>
        <w:rPr>
          <w:rFonts w:cs="Times New Roman"/>
          <w:szCs w:val="24"/>
        </w:rPr>
        <w:t>kilowatt hours (</w:t>
      </w:r>
      <w:r w:rsidRPr="00ED3B84">
        <w:rPr>
          <w:rFonts w:cs="Times New Roman"/>
          <w:szCs w:val="24"/>
        </w:rPr>
        <w:t>kWh</w:t>
      </w:r>
      <w:r>
        <w:rPr>
          <w:rFonts w:cs="Times New Roman"/>
          <w:szCs w:val="24"/>
        </w:rPr>
        <w:t>)</w:t>
      </w:r>
      <w:r w:rsidRPr="00ED3B84">
        <w:rPr>
          <w:rFonts w:cs="Times New Roman"/>
          <w:szCs w:val="24"/>
        </w:rPr>
        <w:t xml:space="preserve"> of electricity per ton of waste</w:t>
      </w:r>
      <w:r>
        <w:rPr>
          <w:rFonts w:cs="Times New Roman"/>
          <w:szCs w:val="24"/>
        </w:rPr>
        <w:t xml:space="preserve"> processed</w:t>
      </w:r>
      <w:r w:rsidRPr="00ED3B84">
        <w:rPr>
          <w:rFonts w:cs="Times New Roman"/>
          <w:szCs w:val="24"/>
        </w:rPr>
        <w:t xml:space="preserve">, which is approximately </w:t>
      </w:r>
      <w:r w:rsidRPr="00ED3B84">
        <w:rPr>
          <w:rFonts w:cs="Times New Roman"/>
          <w:bCs/>
          <w:szCs w:val="24"/>
        </w:rPr>
        <w:t>10 times the electric energy recoverable from a ton of landfilled waste</w:t>
      </w:r>
      <w:r w:rsidRPr="00ED3B84">
        <w:rPr>
          <w:rFonts w:cs="Times New Roman"/>
          <w:szCs w:val="24"/>
        </w:rPr>
        <w:t xml:space="preserve">.  </w:t>
      </w:r>
      <w:r w:rsidRPr="00ED3B84">
        <w:rPr>
          <w:rFonts w:cs="Times New Roman"/>
          <w:i/>
          <w:szCs w:val="24"/>
        </w:rPr>
        <w:t xml:space="preserve">Better to Burn or Bury, supra, </w:t>
      </w:r>
      <w:r w:rsidRPr="00ED3B84">
        <w:rPr>
          <w:rFonts w:cs="Times New Roman"/>
          <w:szCs w:val="24"/>
        </w:rPr>
        <w:t xml:space="preserve">p. </w:t>
      </w:r>
      <w:r w:rsidRPr="00ED3B84">
        <w:rPr>
          <w:rFonts w:cs="Times New Roman"/>
          <w:szCs w:val="24"/>
        </w:rPr>
        <w:lastRenderedPageBreak/>
        <w:t xml:space="preserve">1714; </w:t>
      </w:r>
      <w:r w:rsidRPr="00ED3B84">
        <w:rPr>
          <w:rFonts w:cs="Times New Roman"/>
          <w:i/>
          <w:szCs w:val="24"/>
        </w:rPr>
        <w:t>see also</w:t>
      </w:r>
      <w:r w:rsidRPr="00ED3B84">
        <w:rPr>
          <w:rFonts w:cs="Times New Roman"/>
          <w:szCs w:val="24"/>
        </w:rPr>
        <w:t xml:space="preserve"> </w:t>
      </w:r>
      <w:r w:rsidRPr="00ED3B84">
        <w:rPr>
          <w:rFonts w:cs="Times New Roman"/>
          <w:i/>
          <w:szCs w:val="24"/>
        </w:rPr>
        <w:t>Life After Fresh Kills</w:t>
      </w:r>
      <w:r w:rsidRPr="00ED3B84">
        <w:rPr>
          <w:rFonts w:cs="Times New Roman"/>
          <w:szCs w:val="24"/>
        </w:rPr>
        <w:t xml:space="preserve">, </w:t>
      </w:r>
      <w:r w:rsidRPr="00ED3B84">
        <w:rPr>
          <w:rFonts w:cs="Times New Roman"/>
          <w:i/>
          <w:szCs w:val="24"/>
        </w:rPr>
        <w:t>s</w:t>
      </w:r>
      <w:r w:rsidRPr="00ED3B84">
        <w:rPr>
          <w:rFonts w:cs="Times New Roman"/>
          <w:i/>
          <w:szCs w:val="24"/>
        </w:rPr>
        <w:t>upra,</w:t>
      </w:r>
      <w:r w:rsidRPr="00ED3B84">
        <w:rPr>
          <w:rFonts w:cs="Times New Roman"/>
          <w:szCs w:val="24"/>
        </w:rPr>
        <w:t xml:space="preserve"> p. B-29.</w:t>
      </w:r>
      <w:r>
        <w:rPr>
          <w:rFonts w:cs="Times New Roman"/>
          <w:szCs w:val="24"/>
        </w:rPr>
        <w:t xml:space="preserve">  </w:t>
      </w:r>
      <w:r w:rsidRPr="00ED3B84">
        <w:rPr>
          <w:rFonts w:cs="Times New Roman"/>
          <w:szCs w:val="24"/>
        </w:rPr>
        <w:t xml:space="preserve">In addition, </w:t>
      </w:r>
      <w:r w:rsidRPr="00633C11">
        <w:rPr>
          <w:rFonts w:cs="Times New Roman"/>
          <w:szCs w:val="24"/>
        </w:rPr>
        <w:t>WTE is the paradigm example of distributed, baseload generation that serves nearby load without the need for new long-distance transmission lines.  That is because WTE facilities are available at all times (24 hours a day and 7</w:t>
      </w:r>
      <w:r w:rsidRPr="00633C11">
        <w:rPr>
          <w:rFonts w:cs="Times New Roman"/>
          <w:szCs w:val="24"/>
        </w:rPr>
        <w:t xml:space="preserve"> days each week), unaffected by days that are cloudy or calm, and constructed locally in the communities they serve and from which the electric power they generate can be delivered directly to the regional power grid without the need for new transmission f</w:t>
      </w:r>
      <w:r w:rsidRPr="00633C11">
        <w:rPr>
          <w:rFonts w:cs="Times New Roman"/>
          <w:szCs w:val="24"/>
        </w:rPr>
        <w:t>acilities.</w:t>
      </w:r>
      <w:r>
        <w:rPr>
          <w:rFonts w:cs="Times New Roman"/>
          <w:szCs w:val="24"/>
        </w:rPr>
        <w:t xml:space="preserve">  In fact, an analysis prepared for </w:t>
      </w:r>
      <w:r>
        <w:rPr>
          <w:rFonts w:cs="Times New Roman"/>
          <w:szCs w:val="24"/>
        </w:rPr>
        <w:t xml:space="preserve">the </w:t>
      </w:r>
      <w:r>
        <w:rPr>
          <w:rFonts w:cs="Times New Roman"/>
          <w:szCs w:val="24"/>
        </w:rPr>
        <w:t>New York City Department of Sanitation by</w:t>
      </w:r>
      <w:r>
        <w:rPr>
          <w:rFonts w:cs="Times New Roman"/>
          <w:szCs w:val="24"/>
        </w:rPr>
        <w:t xml:space="preserve"> </w:t>
      </w:r>
      <w:r>
        <w:rPr>
          <w:iCs/>
        </w:rPr>
        <w:t xml:space="preserve">the </w:t>
      </w:r>
      <w:r w:rsidRPr="00705854">
        <w:rPr>
          <w:iCs/>
        </w:rPr>
        <w:t>Earth Engineering Center</w:t>
      </w:r>
      <w:r>
        <w:rPr>
          <w:iCs/>
        </w:rPr>
        <w:t xml:space="preserve"> at the City College of New York </w:t>
      </w:r>
      <w:r>
        <w:rPr>
          <w:iCs/>
        </w:rPr>
        <w:t xml:space="preserve">examined nine distinct energy sources (nuclear, WTE, coal, landfill gas, biomass, natural gas combined </w:t>
      </w:r>
      <w:r>
        <w:rPr>
          <w:iCs/>
        </w:rPr>
        <w:t xml:space="preserve">cycle, thermal solar, wind, and </w:t>
      </w:r>
      <w:r>
        <w:rPr>
          <w:iCs/>
        </w:rPr>
        <w:t>photovoltaic solar), and determined that WTE’s reliability is second only to nuclear power.  [</w:t>
      </w:r>
      <w:r w:rsidRPr="00CF0178">
        <w:rPr>
          <w:iCs/>
          <w:highlight w:val="yellow"/>
        </w:rPr>
        <w:t xml:space="preserve">add citation and URL for Marco Castaldi’s </w:t>
      </w:r>
      <w:r w:rsidRPr="00CF0178">
        <w:rPr>
          <w:iCs/>
          <w:highlight w:val="yellow"/>
        </w:rPr>
        <w:t>3/29/18 PowerPoint</w:t>
      </w:r>
      <w:r w:rsidRPr="00451817">
        <w:rPr>
          <w:iCs/>
          <w:highlight w:val="yellow"/>
        </w:rPr>
        <w:t>, slide 21</w:t>
      </w:r>
      <w:r>
        <w:rPr>
          <w:iCs/>
        </w:rPr>
        <w:t>].</w:t>
      </w:r>
    </w:p>
    <w:p w:rsidR="006277E0" w:rsidRDefault="008941F4" w:rsidP="006277E0">
      <w:pPr>
        <w:spacing w:line="480" w:lineRule="auto"/>
        <w:jc w:val="both"/>
        <w:rPr>
          <w:rFonts w:cs="Times New Roman"/>
          <w:szCs w:val="24"/>
        </w:rPr>
      </w:pPr>
      <w:r>
        <w:rPr>
          <w:rFonts w:cs="Times New Roman"/>
          <w:szCs w:val="24"/>
        </w:rPr>
        <w:tab/>
      </w:r>
      <w:r>
        <w:rPr>
          <w:rFonts w:cs="Times New Roman"/>
          <w:szCs w:val="24"/>
        </w:rPr>
        <w:t xml:space="preserve">It should also be noted that </w:t>
      </w:r>
      <w:r w:rsidRPr="00633C11">
        <w:rPr>
          <w:rFonts w:cs="Times New Roman"/>
          <w:szCs w:val="24"/>
        </w:rPr>
        <w:t xml:space="preserve">unlike landfills, WTE facilities “do not have a continuing cost in land.” </w:t>
      </w:r>
      <w:r w:rsidRPr="00633C11">
        <w:rPr>
          <w:rFonts w:cs="Times New Roman"/>
          <w:i/>
          <w:iCs/>
          <w:szCs w:val="24"/>
        </w:rPr>
        <w:t>See</w:t>
      </w:r>
      <w:r w:rsidRPr="00633C11">
        <w:rPr>
          <w:rFonts w:cs="Times New Roman"/>
          <w:szCs w:val="24"/>
        </w:rPr>
        <w:t xml:space="preserve"> </w:t>
      </w:r>
      <w:hyperlink r:id="rId17" w:history="1">
        <w:r w:rsidRPr="003D4322">
          <w:rPr>
            <w:rStyle w:val="Hyperlink"/>
            <w:rFonts w:cs="Times New Roman"/>
            <w:szCs w:val="24"/>
          </w:rPr>
          <w:t>http://ww</w:t>
        </w:r>
        <w:r w:rsidRPr="003D4322">
          <w:rPr>
            <w:rStyle w:val="Hyperlink"/>
            <w:rFonts w:cs="Times New Roman"/>
            <w:szCs w:val="24"/>
          </w:rPr>
          <w:t>w.wasatchintegrated.org/wp-content/uploads/2016/07/Waste_To_Energy-A_Review_of_the_Status_and_Benefits_in_the_USA.pdf</w:t>
        </w:r>
      </w:hyperlink>
      <w:r w:rsidRPr="00633C11">
        <w:rPr>
          <w:rFonts w:cs="Times New Roman"/>
          <w:szCs w:val="24"/>
        </w:rPr>
        <w:t>, p. 1721.</w:t>
      </w:r>
      <w:r>
        <w:rPr>
          <w:rFonts w:cs="Times New Roman"/>
          <w:szCs w:val="24"/>
        </w:rPr>
        <w:t xml:space="preserve"> </w:t>
      </w:r>
      <w:r w:rsidRPr="00633C11">
        <w:rPr>
          <w:rFonts w:cs="Times New Roman"/>
          <w:szCs w:val="24"/>
        </w:rPr>
        <w:t xml:space="preserve"> Thus, compared to </w:t>
      </w:r>
      <w:r>
        <w:rPr>
          <w:rFonts w:cs="Times New Roman"/>
          <w:szCs w:val="24"/>
        </w:rPr>
        <w:t xml:space="preserve">a </w:t>
      </w:r>
      <w:r w:rsidRPr="00633C11">
        <w:rPr>
          <w:rFonts w:cs="Times New Roman"/>
          <w:szCs w:val="24"/>
        </w:rPr>
        <w:t xml:space="preserve">landfill, </w:t>
      </w:r>
      <w:r>
        <w:rPr>
          <w:rFonts w:cs="Times New Roman"/>
          <w:szCs w:val="24"/>
        </w:rPr>
        <w:t xml:space="preserve">a </w:t>
      </w:r>
      <w:r w:rsidRPr="00633C11">
        <w:rPr>
          <w:rFonts w:cs="Times New Roman"/>
          <w:szCs w:val="24"/>
        </w:rPr>
        <w:t>WTE facilit</w:t>
      </w:r>
      <w:r>
        <w:rPr>
          <w:rFonts w:cs="Times New Roman"/>
          <w:szCs w:val="24"/>
        </w:rPr>
        <w:t>y</w:t>
      </w:r>
      <w:r w:rsidRPr="00633C11">
        <w:rPr>
          <w:rFonts w:cs="Times New Roman"/>
          <w:szCs w:val="24"/>
        </w:rPr>
        <w:t xml:space="preserve"> ha</w:t>
      </w:r>
      <w:r>
        <w:rPr>
          <w:rFonts w:cs="Times New Roman"/>
          <w:szCs w:val="24"/>
        </w:rPr>
        <w:t>s a</w:t>
      </w:r>
      <w:r w:rsidRPr="00633C11">
        <w:rPr>
          <w:rFonts w:cs="Times New Roman"/>
          <w:szCs w:val="24"/>
        </w:rPr>
        <w:t xml:space="preserve"> very modest – in fact, miniscule – footprint, </w:t>
      </w:r>
      <w:r>
        <w:rPr>
          <w:rFonts w:cs="Times New Roman"/>
          <w:szCs w:val="24"/>
        </w:rPr>
        <w:t>not to mention the fact tha</w:t>
      </w:r>
      <w:r>
        <w:rPr>
          <w:rFonts w:cs="Times New Roman"/>
          <w:szCs w:val="24"/>
        </w:rPr>
        <w:t>t</w:t>
      </w:r>
      <w:r w:rsidRPr="00633C11">
        <w:rPr>
          <w:rFonts w:cs="Times New Roman"/>
          <w:szCs w:val="24"/>
        </w:rPr>
        <w:t xml:space="preserve"> the vast </w:t>
      </w:r>
      <w:r>
        <w:rPr>
          <w:rFonts w:cs="Times New Roman"/>
          <w:szCs w:val="24"/>
        </w:rPr>
        <w:t>acreage</w:t>
      </w:r>
      <w:r w:rsidRPr="00633C11">
        <w:rPr>
          <w:rFonts w:cs="Times New Roman"/>
          <w:szCs w:val="24"/>
        </w:rPr>
        <w:t xml:space="preserve"> that become</w:t>
      </w:r>
      <w:r>
        <w:rPr>
          <w:rFonts w:cs="Times New Roman"/>
          <w:szCs w:val="24"/>
        </w:rPr>
        <w:t>s</w:t>
      </w:r>
      <w:r w:rsidRPr="00633C11">
        <w:rPr>
          <w:rFonts w:cs="Times New Roman"/>
          <w:szCs w:val="24"/>
        </w:rPr>
        <w:t xml:space="preserve"> </w:t>
      </w:r>
      <w:r>
        <w:rPr>
          <w:rFonts w:cs="Times New Roman"/>
          <w:szCs w:val="24"/>
        </w:rPr>
        <w:t xml:space="preserve">a </w:t>
      </w:r>
      <w:r w:rsidRPr="00633C11">
        <w:rPr>
          <w:rFonts w:cs="Times New Roman"/>
          <w:szCs w:val="24"/>
        </w:rPr>
        <w:t>landfill cannot (for all practical purposes) be reused.</w:t>
      </w:r>
    </w:p>
    <w:p w:rsidR="006277E0" w:rsidRPr="00704AF7" w:rsidRDefault="008941F4" w:rsidP="006277E0">
      <w:pPr>
        <w:tabs>
          <w:tab w:val="left" w:pos="720"/>
          <w:tab w:val="left" w:pos="1080"/>
        </w:tabs>
        <w:spacing w:line="480" w:lineRule="auto"/>
        <w:jc w:val="both"/>
        <w:rPr>
          <w:rFonts w:cs="Times New Roman"/>
          <w:b/>
          <w:bCs/>
          <w:szCs w:val="24"/>
        </w:rPr>
      </w:pPr>
      <w:r>
        <w:rPr>
          <w:rFonts w:cs="Times New Roman"/>
          <w:szCs w:val="24"/>
        </w:rPr>
        <w:tab/>
      </w:r>
      <w:r w:rsidRPr="00704AF7">
        <w:rPr>
          <w:rFonts w:cs="Times New Roman"/>
          <w:b/>
          <w:bCs/>
          <w:szCs w:val="24"/>
        </w:rPr>
        <w:t>B.</w:t>
      </w:r>
      <w:r w:rsidRPr="00704AF7">
        <w:rPr>
          <w:rFonts w:cs="Times New Roman"/>
          <w:b/>
          <w:bCs/>
          <w:szCs w:val="24"/>
        </w:rPr>
        <w:tab/>
      </w:r>
      <w:r w:rsidRPr="00704AF7">
        <w:rPr>
          <w:rFonts w:cs="Times New Roman"/>
          <w:b/>
          <w:bCs/>
          <w:szCs w:val="24"/>
          <w:u w:val="single"/>
        </w:rPr>
        <w:t>Climate Change</w:t>
      </w:r>
    </w:p>
    <w:p w:rsidR="006277E0" w:rsidRDefault="008941F4" w:rsidP="006277E0">
      <w:pPr>
        <w:spacing w:line="480" w:lineRule="auto"/>
        <w:jc w:val="both"/>
        <w:rPr>
          <w:rFonts w:cs="Times New Roman"/>
          <w:szCs w:val="24"/>
        </w:rPr>
      </w:pPr>
      <w:r>
        <w:rPr>
          <w:rFonts w:cs="Times New Roman"/>
          <w:szCs w:val="24"/>
        </w:rPr>
        <w:tab/>
      </w:r>
      <w:r w:rsidRPr="00963E58">
        <w:rPr>
          <w:rFonts w:cs="Times New Roman"/>
          <w:bCs/>
          <w:szCs w:val="24"/>
        </w:rPr>
        <w:t>WTE</w:t>
      </w:r>
      <w:r>
        <w:rPr>
          <w:rFonts w:cs="Times New Roman"/>
          <w:bCs/>
          <w:szCs w:val="24"/>
        </w:rPr>
        <w:t xml:space="preserve"> technology h</w:t>
      </w:r>
      <w:r w:rsidRPr="00963E58">
        <w:rPr>
          <w:rFonts w:cs="Times New Roman"/>
          <w:bCs/>
          <w:szCs w:val="24"/>
        </w:rPr>
        <w:t xml:space="preserve">elps </w:t>
      </w:r>
      <w:r>
        <w:rPr>
          <w:rFonts w:cs="Times New Roman"/>
          <w:bCs/>
          <w:szCs w:val="24"/>
        </w:rPr>
        <w:t>to m</w:t>
      </w:r>
      <w:r w:rsidRPr="00963E58">
        <w:rPr>
          <w:rFonts w:cs="Times New Roman"/>
          <w:bCs/>
          <w:szCs w:val="24"/>
        </w:rPr>
        <w:t xml:space="preserve">itigate </w:t>
      </w:r>
      <w:r>
        <w:rPr>
          <w:rFonts w:cs="Times New Roman"/>
          <w:bCs/>
          <w:szCs w:val="24"/>
        </w:rPr>
        <w:t>c</w:t>
      </w:r>
      <w:r w:rsidRPr="00963E58">
        <w:rPr>
          <w:rFonts w:cs="Times New Roman"/>
          <w:bCs/>
          <w:szCs w:val="24"/>
        </w:rPr>
        <w:t xml:space="preserve">limate </w:t>
      </w:r>
      <w:r>
        <w:rPr>
          <w:rFonts w:cs="Times New Roman"/>
          <w:bCs/>
          <w:szCs w:val="24"/>
        </w:rPr>
        <w:t>c</w:t>
      </w:r>
      <w:r w:rsidRPr="00963E58">
        <w:rPr>
          <w:rFonts w:cs="Times New Roman"/>
          <w:bCs/>
          <w:szCs w:val="24"/>
        </w:rPr>
        <w:t>hange</w:t>
      </w:r>
      <w:r>
        <w:rPr>
          <w:rFonts w:cs="Times New Roman"/>
          <w:bCs/>
          <w:szCs w:val="24"/>
        </w:rPr>
        <w:t>, and</w:t>
      </w:r>
      <w:r w:rsidRPr="00963E58">
        <w:rPr>
          <w:rFonts w:cs="Times New Roman"/>
          <w:szCs w:val="24"/>
        </w:rPr>
        <w:t xml:space="preserve"> WTE’s role in reducing greenhouse gas (GHG) emissions is widely recognized</w:t>
      </w:r>
      <w:r>
        <w:rPr>
          <w:rFonts w:cs="Times New Roman"/>
          <w:szCs w:val="24"/>
        </w:rPr>
        <w:t xml:space="preserve">.  </w:t>
      </w:r>
      <w:r w:rsidRPr="009E46A7">
        <w:rPr>
          <w:rFonts w:cs="Times New Roman"/>
          <w:szCs w:val="24"/>
        </w:rPr>
        <w:t xml:space="preserve">Important context here is the </w:t>
      </w:r>
      <w:r>
        <w:rPr>
          <w:rFonts w:cs="Times New Roman"/>
          <w:szCs w:val="24"/>
        </w:rPr>
        <w:t xml:space="preserve">fact one of the most potent greenhouse gases is methane, and landfilling, which as a practical matter is the only alternative to WTE for management of post-recycling MSW, is a major source of methane ‒ </w:t>
      </w:r>
      <w:r w:rsidRPr="00EC7978">
        <w:rPr>
          <w:rFonts w:cs="Times New Roman"/>
          <w:szCs w:val="24"/>
        </w:rPr>
        <w:t xml:space="preserve">the </w:t>
      </w:r>
      <w:r>
        <w:rPr>
          <w:rFonts w:cs="Times New Roman"/>
          <w:szCs w:val="24"/>
        </w:rPr>
        <w:t xml:space="preserve">United States’ </w:t>
      </w:r>
      <w:r w:rsidRPr="00EC7978">
        <w:rPr>
          <w:rFonts w:cs="Times New Roman"/>
          <w:szCs w:val="24"/>
        </w:rPr>
        <w:t>third</w:t>
      </w:r>
      <w:r w:rsidRPr="00EC7978">
        <w:rPr>
          <w:rFonts w:cs="Times New Roman"/>
          <w:szCs w:val="24"/>
        </w:rPr>
        <w:t xml:space="preserve"> largest source</w:t>
      </w:r>
      <w:r>
        <w:rPr>
          <w:rFonts w:cs="Times New Roman"/>
          <w:szCs w:val="24"/>
        </w:rPr>
        <w:t xml:space="preserve">.  </w:t>
      </w:r>
      <w:r w:rsidRPr="00EC7978">
        <w:rPr>
          <w:rFonts w:cs="Times New Roman"/>
          <w:i/>
          <w:iCs/>
          <w:szCs w:val="24"/>
        </w:rPr>
        <w:t>Emission Guidelines, and Compliance Times, and Standards of Performance for Municipal Solid Waste Landfills; Proposed Rules</w:t>
      </w:r>
      <w:r w:rsidRPr="00EC7978">
        <w:rPr>
          <w:rFonts w:cs="Times New Roman"/>
          <w:szCs w:val="24"/>
        </w:rPr>
        <w:t>, 80 Fed. Reg. 52100</w:t>
      </w:r>
      <w:r>
        <w:rPr>
          <w:rFonts w:cs="Times New Roman"/>
          <w:szCs w:val="24"/>
        </w:rPr>
        <w:t xml:space="preserve">, </w:t>
      </w:r>
      <w:r>
        <w:rPr>
          <w:rFonts w:cs="Times New Roman"/>
          <w:szCs w:val="24"/>
        </w:rPr>
        <w:lastRenderedPageBreak/>
        <w:t>52123/2</w:t>
      </w:r>
      <w:r w:rsidRPr="00EC7978">
        <w:rPr>
          <w:rFonts w:cs="Times New Roman"/>
          <w:szCs w:val="24"/>
        </w:rPr>
        <w:t xml:space="preserve"> (August 27, 2015)</w:t>
      </w:r>
      <w:r>
        <w:rPr>
          <w:rFonts w:cs="Times New Roman"/>
          <w:szCs w:val="24"/>
        </w:rPr>
        <w:t xml:space="preserve"> (hereafter “</w:t>
      </w:r>
      <w:bookmarkStart w:id="1" w:name="_Hlk17193780"/>
      <w:r w:rsidRPr="000D5A09">
        <w:rPr>
          <w:rFonts w:cs="Times New Roman"/>
          <w:i/>
          <w:iCs/>
          <w:szCs w:val="24"/>
        </w:rPr>
        <w:t>Proposed Landfill Emission Guidelines</w:t>
      </w:r>
      <w:bookmarkEnd w:id="1"/>
      <w:r>
        <w:rPr>
          <w:rFonts w:cs="Times New Roman"/>
          <w:szCs w:val="24"/>
        </w:rPr>
        <w:t xml:space="preserve">”).  </w:t>
      </w:r>
      <w:r w:rsidRPr="00A3406E">
        <w:rPr>
          <w:rFonts w:cs="Times New Roman"/>
          <w:szCs w:val="24"/>
        </w:rPr>
        <w:t xml:space="preserve">In fact, </w:t>
      </w:r>
      <w:r w:rsidRPr="003E2095">
        <w:rPr>
          <w:rFonts w:cs="Times New Roman"/>
          <w:szCs w:val="24"/>
        </w:rPr>
        <w:t xml:space="preserve">EPA </w:t>
      </w:r>
      <w:r w:rsidRPr="003E2095">
        <w:rPr>
          <w:rFonts w:cs="Times New Roman"/>
          <w:szCs w:val="24"/>
        </w:rPr>
        <w:t>estimate</w:t>
      </w:r>
      <w:r w:rsidRPr="00A3406E">
        <w:rPr>
          <w:rFonts w:cs="Times New Roman"/>
          <w:szCs w:val="24"/>
        </w:rPr>
        <w:t xml:space="preserve">s </w:t>
      </w:r>
      <w:r w:rsidRPr="003E2095">
        <w:rPr>
          <w:rFonts w:cs="Times New Roman"/>
          <w:szCs w:val="24"/>
        </w:rPr>
        <w:t xml:space="preserve">that landfills </w:t>
      </w:r>
      <w:r w:rsidRPr="00A3406E">
        <w:rPr>
          <w:rFonts w:cs="Times New Roman"/>
          <w:szCs w:val="24"/>
        </w:rPr>
        <w:t xml:space="preserve">are the source of </w:t>
      </w:r>
      <w:r w:rsidRPr="003E2095">
        <w:rPr>
          <w:rFonts w:cs="Times New Roman"/>
          <w:szCs w:val="24"/>
        </w:rPr>
        <w:t>18.1 percent of total U.S. methane emissions.</w:t>
      </w:r>
      <w:r w:rsidRPr="003E2095">
        <w:rPr>
          <w:rFonts w:cs="Times New Roman"/>
          <w:i/>
          <w:szCs w:val="24"/>
        </w:rPr>
        <w:t xml:space="preserve">  See Emission Guidelines, and Compliance Times, and Standards of Performance for Municipal Solid Waste Landfills; Advance Notice of Proposed Rulemaking (ANPRM),</w:t>
      </w:r>
      <w:r w:rsidRPr="003E2095">
        <w:rPr>
          <w:rFonts w:cs="Times New Roman"/>
          <w:szCs w:val="24"/>
        </w:rPr>
        <w:t xml:space="preserve"> 79 Fed</w:t>
      </w:r>
      <w:r w:rsidRPr="003E2095">
        <w:rPr>
          <w:rFonts w:cs="Times New Roman"/>
          <w:szCs w:val="24"/>
        </w:rPr>
        <w:t>. Reg. 41772, 41774/3 (July 17, 2014)</w:t>
      </w:r>
      <w:r>
        <w:rPr>
          <w:rFonts w:cs="Times New Roman"/>
          <w:szCs w:val="24"/>
        </w:rPr>
        <w:t xml:space="preserve"> (hereafter “</w:t>
      </w:r>
      <w:bookmarkStart w:id="2" w:name="_Hlk17193996"/>
      <w:r w:rsidRPr="000D5A09">
        <w:rPr>
          <w:rFonts w:cs="Times New Roman"/>
          <w:i/>
          <w:iCs/>
          <w:szCs w:val="24"/>
        </w:rPr>
        <w:t>Landfill Emissions ANPRM</w:t>
      </w:r>
      <w:bookmarkEnd w:id="2"/>
      <w:r>
        <w:rPr>
          <w:rFonts w:cs="Times New Roman"/>
          <w:szCs w:val="24"/>
        </w:rPr>
        <w:t>”)</w:t>
      </w:r>
      <w:r w:rsidRPr="003E2095">
        <w:rPr>
          <w:rFonts w:cs="Times New Roman"/>
          <w:szCs w:val="24"/>
        </w:rPr>
        <w:t xml:space="preserve">.  </w:t>
      </w:r>
      <w:r>
        <w:rPr>
          <w:rFonts w:cs="Times New Roman"/>
          <w:szCs w:val="24"/>
        </w:rPr>
        <w:t>EPA further addresses this matter as follows:</w:t>
      </w:r>
    </w:p>
    <w:p w:rsidR="006277E0" w:rsidRPr="003E2095" w:rsidRDefault="008941F4" w:rsidP="006277E0">
      <w:pPr>
        <w:ind w:left="1080" w:right="1080"/>
        <w:jc w:val="both"/>
        <w:rPr>
          <w:rFonts w:eastAsia="Times New Roman" w:cs="Times New Roman"/>
          <w:szCs w:val="24"/>
        </w:rPr>
      </w:pPr>
      <w:r w:rsidRPr="003E2095">
        <w:rPr>
          <w:rFonts w:eastAsia="Times New Roman" w:cs="Times New Roman"/>
          <w:szCs w:val="24"/>
        </w:rPr>
        <w:t xml:space="preserve">Methane is a precursor to ground-level ozone, a health-harmful air pollutant.  Additionally, ozone is a short-lived climate forcer </w:t>
      </w:r>
      <w:r w:rsidRPr="003E2095">
        <w:rPr>
          <w:rFonts w:eastAsia="Times New Roman" w:cs="Times New Roman"/>
          <w:szCs w:val="24"/>
        </w:rPr>
        <w:t>that contributes to global warming. In remote areas, methane is a dominant precursor to tropospheric ozone formation.  Approximately 50 percent of the global annual mean ozone increase since preindustrial times is believed to be due to anthropogenic methan</w:t>
      </w:r>
      <w:r w:rsidRPr="003E2095">
        <w:rPr>
          <w:rFonts w:eastAsia="Times New Roman" w:cs="Times New Roman"/>
          <w:szCs w:val="24"/>
        </w:rPr>
        <w:t>e.  Projections of future emissions also indicate that methane is likely to be a key contributor to ozone concentrations in the future.  Unlike nitrogen oxide (NO</w:t>
      </w:r>
      <w:r w:rsidRPr="003E2095">
        <w:rPr>
          <w:rFonts w:eastAsia="Times New Roman" w:cs="Times New Roman"/>
          <w:szCs w:val="24"/>
          <w:vertAlign w:val="subscript"/>
        </w:rPr>
        <w:t>X</w:t>
      </w:r>
      <w:r w:rsidRPr="003E2095">
        <w:rPr>
          <w:rFonts w:eastAsia="Times New Roman" w:cs="Times New Roman"/>
          <w:szCs w:val="24"/>
        </w:rPr>
        <w:t>) and VOC, which affect ozone concentrations regionally and at hourly time scales, methane em</w:t>
      </w:r>
      <w:r w:rsidRPr="003E2095">
        <w:rPr>
          <w:rFonts w:eastAsia="Times New Roman" w:cs="Times New Roman"/>
          <w:szCs w:val="24"/>
        </w:rPr>
        <w:t>issions affect ozone concentrations globally and on decadal time scales given methane’s relatively long atmospheric lifetime compared to these other ozone precursors.</w:t>
      </w:r>
    </w:p>
    <w:p w:rsidR="006277E0" w:rsidRPr="003E2095" w:rsidRDefault="008941F4" w:rsidP="006277E0">
      <w:pPr>
        <w:jc w:val="both"/>
        <w:rPr>
          <w:rFonts w:eastAsia="Times New Roman" w:cs="Times New Roman"/>
          <w:szCs w:val="24"/>
        </w:rPr>
      </w:pPr>
    </w:p>
    <w:p w:rsidR="006277E0" w:rsidRDefault="008941F4" w:rsidP="006277E0">
      <w:pPr>
        <w:spacing w:line="480" w:lineRule="auto"/>
        <w:jc w:val="both"/>
        <w:rPr>
          <w:rFonts w:cs="Times New Roman"/>
          <w:szCs w:val="24"/>
        </w:rPr>
      </w:pPr>
      <w:bookmarkStart w:id="3" w:name="_Hlk17203797"/>
      <w:r w:rsidRPr="000D5A09">
        <w:rPr>
          <w:rFonts w:eastAsia="Times New Roman" w:cs="Times New Roman"/>
          <w:i/>
          <w:iCs/>
          <w:szCs w:val="24"/>
        </w:rPr>
        <w:t xml:space="preserve">Proposed Landfill </w:t>
      </w:r>
      <w:bookmarkEnd w:id="3"/>
      <w:r w:rsidRPr="000D5A09">
        <w:rPr>
          <w:rFonts w:eastAsia="Times New Roman" w:cs="Times New Roman"/>
          <w:i/>
          <w:iCs/>
          <w:szCs w:val="24"/>
        </w:rPr>
        <w:t>Emission Guidelines</w:t>
      </w:r>
      <w:r>
        <w:rPr>
          <w:rFonts w:eastAsia="Times New Roman" w:cs="Times New Roman"/>
          <w:szCs w:val="24"/>
        </w:rPr>
        <w:t xml:space="preserve">, 80 Fed. Reg. </w:t>
      </w:r>
      <w:r w:rsidRPr="003E2095">
        <w:rPr>
          <w:rFonts w:eastAsia="Times New Roman" w:cs="Times New Roman"/>
          <w:szCs w:val="24"/>
        </w:rPr>
        <w:t>at 52109/2 (internal citations omitt</w:t>
      </w:r>
      <w:r w:rsidRPr="003E2095">
        <w:rPr>
          <w:rFonts w:eastAsia="Times New Roman" w:cs="Times New Roman"/>
          <w:szCs w:val="24"/>
        </w:rPr>
        <w:t>ed).</w:t>
      </w:r>
      <w:r>
        <w:rPr>
          <w:rFonts w:eastAsia="Times New Roman" w:cs="Times New Roman"/>
          <w:szCs w:val="24"/>
        </w:rPr>
        <w:t xml:space="preserve">  In addition, t</w:t>
      </w:r>
      <w:r>
        <w:rPr>
          <w:rFonts w:cs="Times New Roman"/>
          <w:szCs w:val="24"/>
        </w:rPr>
        <w:t xml:space="preserve">here is </w:t>
      </w:r>
      <w:r w:rsidRPr="009E46A7">
        <w:rPr>
          <w:rFonts w:cs="Times New Roman"/>
          <w:szCs w:val="24"/>
        </w:rPr>
        <w:t xml:space="preserve">widespread recognition that “because of its potency as a GHG and its </w:t>
      </w:r>
      <w:r>
        <w:rPr>
          <w:rFonts w:cs="Times New Roman"/>
          <w:szCs w:val="24"/>
        </w:rPr>
        <w:t xml:space="preserve">[longer] </w:t>
      </w:r>
      <w:r w:rsidRPr="009E46A7">
        <w:rPr>
          <w:rFonts w:cs="Times New Roman"/>
          <w:szCs w:val="24"/>
        </w:rPr>
        <w:t xml:space="preserve">atmospheric life, </w:t>
      </w:r>
      <w:r w:rsidRPr="009E46A7">
        <w:rPr>
          <w:rFonts w:cs="Times New Roman"/>
          <w:bCs/>
          <w:szCs w:val="24"/>
        </w:rPr>
        <w:t>reducing methane emissions is one of the best ways to achieve a near-term beneficial impact in mitigating global climate change.”</w:t>
      </w:r>
      <w:r w:rsidRPr="009E46A7">
        <w:rPr>
          <w:rFonts w:cs="Times New Roman"/>
          <w:szCs w:val="24"/>
        </w:rPr>
        <w:t xml:space="preserve">  </w:t>
      </w:r>
      <w:r w:rsidRPr="000D5A09">
        <w:rPr>
          <w:rFonts w:cs="Times New Roman"/>
          <w:i/>
          <w:iCs/>
          <w:szCs w:val="24"/>
        </w:rPr>
        <w:t>Landfill Emissions ANPRM</w:t>
      </w:r>
      <w:r>
        <w:rPr>
          <w:rFonts w:cs="Times New Roman"/>
          <w:szCs w:val="24"/>
        </w:rPr>
        <w:t xml:space="preserve">, </w:t>
      </w:r>
      <w:r w:rsidRPr="000D5A09">
        <w:rPr>
          <w:rFonts w:cs="Times New Roman"/>
          <w:szCs w:val="24"/>
        </w:rPr>
        <w:t>79 Fed. Reg.</w:t>
      </w:r>
      <w:r>
        <w:rPr>
          <w:rFonts w:cs="Times New Roman"/>
          <w:szCs w:val="24"/>
        </w:rPr>
        <w:t xml:space="preserve"> at</w:t>
      </w:r>
      <w:r w:rsidRPr="000D5A09">
        <w:rPr>
          <w:rFonts w:cs="Times New Roman"/>
          <w:szCs w:val="24"/>
        </w:rPr>
        <w:t xml:space="preserve"> 41774/1</w:t>
      </w:r>
      <w:r>
        <w:rPr>
          <w:rFonts w:cs="Times New Roman"/>
          <w:szCs w:val="24"/>
        </w:rPr>
        <w:t>.</w:t>
      </w:r>
    </w:p>
    <w:p w:rsidR="006277E0" w:rsidRDefault="008941F4" w:rsidP="006277E0">
      <w:pPr>
        <w:spacing w:line="480" w:lineRule="auto"/>
        <w:jc w:val="both"/>
        <w:rPr>
          <w:rFonts w:cs="Times New Roman"/>
          <w:szCs w:val="24"/>
        </w:rPr>
      </w:pPr>
      <w:r>
        <w:rPr>
          <w:rFonts w:cs="Times New Roman"/>
          <w:szCs w:val="24"/>
        </w:rPr>
        <w:tab/>
        <w:t xml:space="preserve">WTE is a </w:t>
      </w:r>
      <w:r>
        <w:rPr>
          <w:rFonts w:cs="Times New Roman"/>
          <w:szCs w:val="24"/>
        </w:rPr>
        <w:t>powerful</w:t>
      </w:r>
      <w:r>
        <w:rPr>
          <w:rFonts w:cs="Times New Roman"/>
          <w:szCs w:val="24"/>
        </w:rPr>
        <w:t xml:space="preserve"> antidote for landfills’ pernicious GHG impact.  </w:t>
      </w:r>
      <w:r w:rsidRPr="001B1373">
        <w:rPr>
          <w:rFonts w:cs="Times New Roman"/>
          <w:szCs w:val="24"/>
        </w:rPr>
        <w:t xml:space="preserve">As EPA’s solid waste management planning methodology recognizes, WTE reduces </w:t>
      </w:r>
      <w:r>
        <w:rPr>
          <w:rFonts w:cs="Times New Roman"/>
          <w:szCs w:val="24"/>
        </w:rPr>
        <w:t xml:space="preserve">landfill </w:t>
      </w:r>
      <w:r w:rsidRPr="001B1373">
        <w:rPr>
          <w:rFonts w:cs="Times New Roman"/>
          <w:szCs w:val="24"/>
        </w:rPr>
        <w:t>GHG emissions in three ways by</w:t>
      </w:r>
      <w:r>
        <w:rPr>
          <w:rFonts w:cs="Times New Roman"/>
          <w:szCs w:val="24"/>
        </w:rPr>
        <w:t xml:space="preserve">: </w:t>
      </w:r>
      <w:r w:rsidRPr="001B1373">
        <w:rPr>
          <w:rFonts w:cs="Times New Roman"/>
          <w:szCs w:val="24"/>
        </w:rPr>
        <w:t xml:space="preserve"> (i) generating elec</w:t>
      </w:r>
      <w:r w:rsidRPr="001B1373">
        <w:rPr>
          <w:rFonts w:cs="Times New Roman"/>
          <w:szCs w:val="24"/>
        </w:rPr>
        <w:t xml:space="preserve">tricity or steam </w:t>
      </w:r>
      <w:r>
        <w:rPr>
          <w:rFonts w:cs="Times New Roman"/>
          <w:szCs w:val="24"/>
        </w:rPr>
        <w:t xml:space="preserve">(or both) </w:t>
      </w:r>
      <w:r w:rsidRPr="001B1373">
        <w:rPr>
          <w:rFonts w:cs="Times New Roman"/>
          <w:szCs w:val="24"/>
        </w:rPr>
        <w:t>without having to use fossil fuel</w:t>
      </w:r>
      <w:r>
        <w:rPr>
          <w:rFonts w:cs="Times New Roman"/>
          <w:szCs w:val="24"/>
        </w:rPr>
        <w:t>s;</w:t>
      </w:r>
      <w:r>
        <w:rPr>
          <w:rStyle w:val="FootnoteReference"/>
          <w:rFonts w:cs="Times New Roman"/>
          <w:szCs w:val="24"/>
        </w:rPr>
        <w:footnoteReference w:id="8"/>
      </w:r>
      <w:r w:rsidRPr="001B1373">
        <w:rPr>
          <w:rFonts w:cs="Times New Roman"/>
          <w:szCs w:val="24"/>
        </w:rPr>
        <w:t xml:space="preserve"> (ii) </w:t>
      </w:r>
      <w:r w:rsidRPr="001B1373">
        <w:rPr>
          <w:rFonts w:cs="Times New Roman"/>
          <w:szCs w:val="24"/>
        </w:rPr>
        <w:lastRenderedPageBreak/>
        <w:t>avoiding the potential methane emissions that would result if the same waste was landfilled, and (iii) recovering ferrous and nonferrous metals, which avoids the additional energy consump</w:t>
      </w:r>
      <w:r w:rsidRPr="001B1373">
        <w:rPr>
          <w:rFonts w:cs="Times New Roman"/>
          <w:szCs w:val="24"/>
        </w:rPr>
        <w:t xml:space="preserve">tion that would be required if the metals were produced from virgin ores.  </w:t>
      </w:r>
      <w:r w:rsidRPr="001B1373">
        <w:rPr>
          <w:rFonts w:cs="Times New Roman"/>
          <w:i/>
          <w:szCs w:val="24"/>
        </w:rPr>
        <w:t>Is it Better to Burn or Bury</w:t>
      </w:r>
      <w:r w:rsidRPr="001B1373">
        <w:rPr>
          <w:rFonts w:cs="Times New Roman"/>
          <w:szCs w:val="24"/>
        </w:rPr>
        <w:t>, pp. 1711-14</w:t>
      </w:r>
      <w:r>
        <w:rPr>
          <w:rFonts w:cs="Times New Roman"/>
          <w:szCs w:val="24"/>
        </w:rPr>
        <w:t xml:space="preserve">; </w:t>
      </w:r>
      <w:r w:rsidRPr="001B1373">
        <w:rPr>
          <w:rFonts w:cs="Times New Roman"/>
          <w:i/>
          <w:szCs w:val="24"/>
        </w:rPr>
        <w:t>see also</w:t>
      </w:r>
      <w:r w:rsidRPr="001B1373">
        <w:rPr>
          <w:rFonts w:cs="Times New Roman"/>
          <w:szCs w:val="24"/>
        </w:rPr>
        <w:t xml:space="preserve"> </w:t>
      </w:r>
      <w:r w:rsidRPr="001B1373">
        <w:rPr>
          <w:rFonts w:cs="Times New Roman"/>
          <w:i/>
          <w:szCs w:val="24"/>
        </w:rPr>
        <w:t>Life After Fresh Kills</w:t>
      </w:r>
      <w:r w:rsidRPr="001B1373">
        <w:rPr>
          <w:rFonts w:cs="Times New Roman"/>
          <w:szCs w:val="24"/>
        </w:rPr>
        <w:t>, Part B, Summary and pp. B-23 to B-32.</w:t>
      </w:r>
      <w:r>
        <w:rPr>
          <w:rFonts w:cs="Times New Roman"/>
          <w:szCs w:val="24"/>
        </w:rPr>
        <w:t xml:space="preserve">  U</w:t>
      </w:r>
      <w:r w:rsidRPr="00B54949">
        <w:rPr>
          <w:rFonts w:cs="Times New Roman"/>
          <w:szCs w:val="24"/>
        </w:rPr>
        <w:t>se of EPA’s model for determining the life-cycle GHG emissions fr</w:t>
      </w:r>
      <w:r w:rsidRPr="00B54949">
        <w:rPr>
          <w:rFonts w:cs="Times New Roman"/>
          <w:szCs w:val="24"/>
        </w:rPr>
        <w:t xml:space="preserve">om alternative MSW management methods shows that </w:t>
      </w:r>
      <w:r w:rsidRPr="00B54949">
        <w:rPr>
          <w:rFonts w:cs="Times New Roman"/>
          <w:bCs/>
          <w:szCs w:val="24"/>
        </w:rPr>
        <w:t>for every ton of MSW that is directed to WTE rather than landfilled, between 1.62 and 4.1 tons of GHG emissions are avoided</w:t>
      </w:r>
      <w:r w:rsidRPr="00B54949">
        <w:rPr>
          <w:rFonts w:cs="Times New Roman"/>
          <w:szCs w:val="24"/>
        </w:rPr>
        <w:t>.</w:t>
      </w:r>
      <w:r>
        <w:rPr>
          <w:rStyle w:val="FootnoteReference"/>
          <w:rFonts w:cs="Times New Roman"/>
          <w:szCs w:val="24"/>
        </w:rPr>
        <w:footnoteReference w:id="9"/>
      </w:r>
    </w:p>
    <w:p w:rsidR="006277E0" w:rsidRDefault="008941F4" w:rsidP="006277E0">
      <w:pPr>
        <w:spacing w:line="480" w:lineRule="auto"/>
        <w:jc w:val="both"/>
        <w:rPr>
          <w:rFonts w:cs="Times New Roman"/>
          <w:szCs w:val="24"/>
        </w:rPr>
      </w:pPr>
      <w:r>
        <w:rPr>
          <w:rFonts w:cs="Times New Roman"/>
          <w:szCs w:val="24"/>
        </w:rPr>
        <w:tab/>
      </w:r>
      <w:r w:rsidRPr="007A7CF1">
        <w:rPr>
          <w:rFonts w:cs="Times New Roman"/>
          <w:szCs w:val="24"/>
        </w:rPr>
        <w:t>Consistent with EPA’s analysis, the Intergovernmental Panel on Climate Change (I</w:t>
      </w:r>
      <w:r w:rsidRPr="007A7CF1">
        <w:rPr>
          <w:rFonts w:cs="Times New Roman"/>
          <w:szCs w:val="24"/>
        </w:rPr>
        <w:t xml:space="preserve">PCC), a leading forum of independent scientific experts on climate change, </w:t>
      </w:r>
      <w:r w:rsidRPr="002D1885">
        <w:rPr>
          <w:rFonts w:cs="Times New Roman"/>
          <w:bCs/>
          <w:szCs w:val="24"/>
        </w:rPr>
        <w:t>emphasizes WTE’s dual benefits of (i) offsetting fossil fuel combustion and (ii) avoided landfill methane emissions.</w:t>
      </w:r>
      <w:r w:rsidRPr="007A7CF1">
        <w:rPr>
          <w:rFonts w:cs="Times New Roman"/>
          <w:szCs w:val="24"/>
        </w:rPr>
        <w:t xml:space="preserve">  </w:t>
      </w:r>
      <w:r w:rsidRPr="007A7CF1">
        <w:rPr>
          <w:rFonts w:cs="Times New Roman"/>
          <w:i/>
          <w:szCs w:val="24"/>
        </w:rPr>
        <w:t>Mitigation of Climate Change</w:t>
      </w:r>
      <w:r w:rsidRPr="007A7CF1">
        <w:rPr>
          <w:rFonts w:cs="Times New Roman"/>
          <w:szCs w:val="24"/>
        </w:rPr>
        <w:t xml:space="preserve">, p. 601, </w:t>
      </w:r>
      <w:hyperlink r:id="rId18" w:history="1">
        <w:r w:rsidRPr="00F920A1">
          <w:rPr>
            <w:rStyle w:val="Hyperlink"/>
            <w:rFonts w:cs="Times New Roman"/>
            <w:szCs w:val="24"/>
            <w:highlight w:val="yellow"/>
          </w:rPr>
          <w:t>http://www.ipcc.ch/pdf/assessment-report/ar4/wg3/ar4-wg3-chapter10.pdf</w:t>
        </w:r>
      </w:hyperlink>
      <w:r w:rsidRPr="007A7CF1">
        <w:rPr>
          <w:rFonts w:cs="Times New Roman"/>
          <w:szCs w:val="24"/>
        </w:rPr>
        <w:t>.</w:t>
      </w:r>
      <w:r>
        <w:rPr>
          <w:rFonts w:cs="Times New Roman"/>
          <w:szCs w:val="24"/>
        </w:rPr>
        <w:t xml:space="preserve">  </w:t>
      </w:r>
      <w:r w:rsidRPr="007A7CF1">
        <w:rPr>
          <w:rFonts w:cs="Times New Roman"/>
          <w:szCs w:val="24"/>
        </w:rPr>
        <w:t>Similarly, the Kyoto Protocol’s Clean Development Mechanism</w:t>
      </w:r>
      <w:r w:rsidRPr="002D1885">
        <w:rPr>
          <w:rFonts w:cs="Times New Roman"/>
          <w:bCs/>
          <w:szCs w:val="24"/>
        </w:rPr>
        <w:t xml:space="preserve"> approves WTE as a source of tradeable GHG emission reduction </w:t>
      </w:r>
      <w:r w:rsidRPr="002D1885">
        <w:rPr>
          <w:rFonts w:cs="Times New Roman"/>
          <w:bCs/>
          <w:szCs w:val="24"/>
        </w:rPr>
        <w:t>credits that displaces electricity from fossil fuels and avoids landfill methane emissions.</w:t>
      </w:r>
      <w:r w:rsidRPr="007A7CF1">
        <w:rPr>
          <w:rFonts w:cs="Times New Roman"/>
          <w:szCs w:val="24"/>
        </w:rPr>
        <w:t xml:space="preserve">  </w:t>
      </w:r>
      <w:r w:rsidRPr="007A7CF1">
        <w:rPr>
          <w:rFonts w:cs="Times New Roman"/>
          <w:i/>
          <w:szCs w:val="24"/>
        </w:rPr>
        <w:t xml:space="preserve">Approved Baseline and Monitoring Methodology </w:t>
      </w:r>
      <w:r w:rsidRPr="007A7CF1">
        <w:rPr>
          <w:rFonts w:cs="Times New Roman"/>
          <w:i/>
          <w:szCs w:val="24"/>
        </w:rPr>
        <w:lastRenderedPageBreak/>
        <w:t>AM0025</w:t>
      </w:r>
      <w:r w:rsidRPr="007A7CF1">
        <w:rPr>
          <w:rFonts w:cs="Times New Roman"/>
          <w:szCs w:val="24"/>
        </w:rPr>
        <w:t xml:space="preserve">, pp. 1-3, </w:t>
      </w:r>
      <w:hyperlink r:id="rId19" w:history="1">
        <w:r w:rsidRPr="007A7CF1">
          <w:rPr>
            <w:rStyle w:val="Hyperlink"/>
            <w:rFonts w:cs="Times New Roman"/>
            <w:szCs w:val="24"/>
          </w:rPr>
          <w:t>https://cdm.unfccc.int/UserManagement/FileStorage/-9WVIN7Z06A8UGLFPO4Y51BDMJ23QXT</w:t>
        </w:r>
      </w:hyperlink>
      <w:r>
        <w:rPr>
          <w:rFonts w:cs="Times New Roman"/>
          <w:szCs w:val="24"/>
        </w:rPr>
        <w:t xml:space="preserve">.  Finally, </w:t>
      </w:r>
      <w:r w:rsidRPr="007A7CF1">
        <w:rPr>
          <w:rFonts w:cs="Times New Roman"/>
          <w:szCs w:val="24"/>
        </w:rPr>
        <w:t xml:space="preserve">the United Nations’ November 2011 report, </w:t>
      </w:r>
      <w:r w:rsidRPr="007A7CF1">
        <w:rPr>
          <w:rFonts w:cs="Times New Roman"/>
          <w:i/>
          <w:szCs w:val="24"/>
        </w:rPr>
        <w:t>Bridging the Emissions G</w:t>
      </w:r>
      <w:r w:rsidRPr="007A7CF1">
        <w:rPr>
          <w:rFonts w:cs="Times New Roman"/>
          <w:i/>
          <w:szCs w:val="24"/>
        </w:rPr>
        <w:t>ap</w:t>
      </w:r>
      <w:r w:rsidRPr="007A7CF1">
        <w:rPr>
          <w:rFonts w:cs="Times New Roman"/>
          <w:szCs w:val="24"/>
        </w:rPr>
        <w:t xml:space="preserve">, concludes that </w:t>
      </w:r>
      <w:r w:rsidRPr="002D1885">
        <w:rPr>
          <w:rFonts w:cs="Times New Roman"/>
          <w:bCs/>
          <w:szCs w:val="24"/>
        </w:rPr>
        <w:t>waste sector GHG emissions can be reduced by 80% if there is significant diversion of currently landfilled waste to WTE,</w:t>
      </w:r>
      <w:r w:rsidRPr="007A7CF1">
        <w:rPr>
          <w:rFonts w:cs="Times New Roman"/>
          <w:szCs w:val="24"/>
        </w:rPr>
        <w:t xml:space="preserve"> </w:t>
      </w:r>
      <w:r w:rsidRPr="007A7CF1">
        <w:rPr>
          <w:rFonts w:cs="Times New Roman"/>
          <w:i/>
          <w:szCs w:val="24"/>
        </w:rPr>
        <w:t>see</w:t>
      </w:r>
      <w:r w:rsidRPr="007A7CF1">
        <w:rPr>
          <w:rFonts w:cs="Times New Roman"/>
          <w:szCs w:val="24"/>
        </w:rPr>
        <w:t xml:space="preserve"> </w:t>
      </w:r>
      <w:hyperlink r:id="rId20" w:history="1">
        <w:r w:rsidRPr="007A7CF1">
          <w:rPr>
            <w:rStyle w:val="Hyperlink"/>
            <w:rFonts w:cs="Times New Roman"/>
            <w:szCs w:val="24"/>
          </w:rPr>
          <w:t>http:/www.unep.org/pdf/bridginggap.pdf</w:t>
        </w:r>
      </w:hyperlink>
      <w:r w:rsidRPr="007A7CF1">
        <w:rPr>
          <w:rFonts w:cs="Times New Roman"/>
          <w:szCs w:val="24"/>
        </w:rPr>
        <w:t>, pp. 37-38, and the World Economic Forum recommends expanded use of WTE by phasing out use of landfills</w:t>
      </w:r>
      <w:r>
        <w:rPr>
          <w:rFonts w:cs="Times New Roman"/>
          <w:szCs w:val="24"/>
        </w:rPr>
        <w:t>.</w:t>
      </w:r>
      <w:r w:rsidRPr="007A7CF1">
        <w:rPr>
          <w:rFonts w:cs="Times New Roman"/>
          <w:szCs w:val="24"/>
        </w:rPr>
        <w:t xml:space="preserve">  </w:t>
      </w:r>
      <w:r w:rsidRPr="007A7CF1">
        <w:rPr>
          <w:rFonts w:cs="Times New Roman"/>
          <w:i/>
          <w:iCs/>
          <w:szCs w:val="24"/>
        </w:rPr>
        <w:t xml:space="preserve">Policy Mechanisms to Bridge the Financing Gap, </w:t>
      </w:r>
      <w:r w:rsidRPr="007A7CF1">
        <w:rPr>
          <w:rFonts w:cs="Times New Roman"/>
          <w:szCs w:val="24"/>
        </w:rPr>
        <w:t xml:space="preserve">January </w:t>
      </w:r>
      <w:r w:rsidRPr="007A7CF1">
        <w:rPr>
          <w:rFonts w:cs="Times New Roman"/>
          <w:szCs w:val="24"/>
        </w:rPr>
        <w:t>2010</w:t>
      </w:r>
      <w:r>
        <w:rPr>
          <w:rFonts w:cs="Times New Roman"/>
          <w:szCs w:val="24"/>
        </w:rPr>
        <w:t>, [</w:t>
      </w:r>
      <w:r w:rsidRPr="002D1885">
        <w:rPr>
          <w:rFonts w:cs="Times New Roman"/>
          <w:szCs w:val="24"/>
          <w:highlight w:val="yellow"/>
        </w:rPr>
        <w:t>URL needed</w:t>
      </w:r>
      <w:r>
        <w:rPr>
          <w:rFonts w:cs="Times New Roman"/>
          <w:szCs w:val="24"/>
        </w:rPr>
        <w:t>].</w:t>
      </w:r>
      <w:r>
        <w:rPr>
          <w:rStyle w:val="FootnoteReference"/>
          <w:rFonts w:cs="Times New Roman"/>
          <w:szCs w:val="24"/>
        </w:rPr>
        <w:footnoteReference w:id="10"/>
      </w:r>
    </w:p>
    <w:p w:rsidR="00034E09" w:rsidRPr="00034E09" w:rsidRDefault="008941F4" w:rsidP="00034E09">
      <w:pPr>
        <w:spacing w:line="480" w:lineRule="auto"/>
        <w:jc w:val="both"/>
        <w:rPr>
          <w:rFonts w:cs="Times New Roman"/>
          <w:b/>
          <w:szCs w:val="24"/>
        </w:rPr>
      </w:pPr>
      <w:r w:rsidRPr="00034E09">
        <w:rPr>
          <w:rFonts w:cs="Times New Roman"/>
          <w:b/>
          <w:szCs w:val="24"/>
        </w:rPr>
        <w:t>C.</w:t>
      </w:r>
      <w:r w:rsidRPr="00034E09">
        <w:rPr>
          <w:rFonts w:cs="Times New Roman"/>
          <w:b/>
          <w:szCs w:val="24"/>
        </w:rPr>
        <w:tab/>
      </w:r>
      <w:r w:rsidRPr="00034E09">
        <w:rPr>
          <w:rFonts w:cs="Times New Roman"/>
          <w:b/>
          <w:szCs w:val="24"/>
          <w:u w:val="single"/>
        </w:rPr>
        <w:t>WTE Encourages Recycling</w:t>
      </w:r>
    </w:p>
    <w:p w:rsidR="00034E09" w:rsidRPr="00034E09" w:rsidRDefault="008941F4" w:rsidP="00034E09">
      <w:pPr>
        <w:spacing w:line="480" w:lineRule="auto"/>
        <w:jc w:val="both"/>
        <w:rPr>
          <w:rFonts w:cs="Times New Roman"/>
          <w:szCs w:val="24"/>
        </w:rPr>
      </w:pPr>
      <w:r w:rsidRPr="00034E09">
        <w:rPr>
          <w:rFonts w:cs="Times New Roman"/>
          <w:szCs w:val="24"/>
        </w:rPr>
        <w:tab/>
        <w:t>Finally, WTE is also entirely compatible with recycling.  This is evident on a number of bases.</w:t>
      </w:r>
    </w:p>
    <w:p w:rsidR="00034E09" w:rsidRPr="00034E09" w:rsidRDefault="008941F4" w:rsidP="00034E09">
      <w:pPr>
        <w:spacing w:line="480" w:lineRule="auto"/>
        <w:jc w:val="both"/>
        <w:rPr>
          <w:rFonts w:cs="Times New Roman"/>
          <w:szCs w:val="24"/>
        </w:rPr>
      </w:pPr>
      <w:r w:rsidRPr="00034E09">
        <w:rPr>
          <w:rFonts w:cs="Times New Roman"/>
          <w:szCs w:val="24"/>
        </w:rPr>
        <w:tab/>
        <w:t>First, WTE communities routinely outperform non-WTE communities in recycling, with recycling rates that are t</w:t>
      </w:r>
      <w:r w:rsidRPr="00034E09">
        <w:rPr>
          <w:rFonts w:cs="Times New Roman"/>
          <w:szCs w:val="24"/>
        </w:rPr>
        <w:t xml:space="preserve">ypically well in excess of the national average and in a number of instances lead the nation in recycling.  This point is confirmed by a May 2014 national survey.  </w:t>
      </w:r>
      <w:r w:rsidRPr="00034E09">
        <w:rPr>
          <w:rFonts w:cs="Times New Roman"/>
          <w:i/>
          <w:szCs w:val="24"/>
        </w:rPr>
        <w:t>See</w:t>
      </w:r>
      <w:r w:rsidRPr="00034E09">
        <w:rPr>
          <w:rFonts w:cs="Times New Roman"/>
          <w:szCs w:val="24"/>
        </w:rPr>
        <w:t xml:space="preserve"> </w:t>
      </w:r>
      <w:hyperlink r:id="rId21" w:history="1">
        <w:r w:rsidRPr="0097726D">
          <w:rPr>
            <w:rStyle w:val="Hyperlink"/>
            <w:rFonts w:cs="Times New Roman"/>
            <w:szCs w:val="24"/>
            <w:highlight w:val="yellow"/>
          </w:rPr>
          <w:t>http://energyrecoverycouncil.org/wp-content/uploads/2016/03/ERC-2014-Berenyi-recycling-study.pdf</w:t>
        </w:r>
      </w:hyperlink>
      <w:r w:rsidRPr="00034E09">
        <w:rPr>
          <w:rFonts w:cs="Times New Roman"/>
          <w:szCs w:val="24"/>
        </w:rPr>
        <w:t xml:space="preserve">.  Moreover, although recycling rates are often influenced by state policies that apply equally to WTE and non-WTE communities, </w:t>
      </w:r>
      <w:r w:rsidRPr="00034E09">
        <w:rPr>
          <w:rFonts w:cs="Times New Roman"/>
          <w:bCs/>
          <w:szCs w:val="24"/>
        </w:rPr>
        <w:t>WTE com</w:t>
      </w:r>
      <w:r w:rsidRPr="00034E09">
        <w:rPr>
          <w:rFonts w:cs="Times New Roman"/>
          <w:bCs/>
          <w:szCs w:val="24"/>
        </w:rPr>
        <w:t>munities’ recycling rates are typically higher than the overall recycling rates for their respective states.</w:t>
      </w:r>
      <w:r w:rsidRPr="00034E09">
        <w:rPr>
          <w:rFonts w:cs="Times New Roman"/>
          <w:szCs w:val="24"/>
        </w:rPr>
        <w:t xml:space="preserve">  </w:t>
      </w:r>
      <w:r w:rsidRPr="00034E09">
        <w:rPr>
          <w:rFonts w:cs="Times New Roman"/>
          <w:i/>
          <w:szCs w:val="24"/>
        </w:rPr>
        <w:t>Id.</w:t>
      </w:r>
      <w:r w:rsidRPr="00034E09">
        <w:rPr>
          <w:rFonts w:cs="Times New Roman"/>
          <w:szCs w:val="24"/>
        </w:rPr>
        <w:t xml:space="preserve">, pp. 5, 9-11.  It should also be noted that the positive correlation between WTE and higher recycling rates is not unique to the </w:t>
      </w:r>
      <w:r w:rsidRPr="00034E09">
        <w:rPr>
          <w:rFonts w:cs="Times New Roman"/>
          <w:szCs w:val="24"/>
        </w:rPr>
        <w:lastRenderedPageBreak/>
        <w:t>United States</w:t>
      </w:r>
      <w:r>
        <w:rPr>
          <w:rFonts w:cs="Times New Roman"/>
          <w:szCs w:val="24"/>
        </w:rPr>
        <w:t>; it is also quite evident in other nations</w:t>
      </w:r>
      <w:r w:rsidRPr="00034E09">
        <w:rPr>
          <w:rFonts w:cs="Times New Roman"/>
          <w:szCs w:val="24"/>
        </w:rPr>
        <w:t>.</w:t>
      </w:r>
      <w:r>
        <w:rPr>
          <w:rStyle w:val="FootnoteReference"/>
          <w:rFonts w:cs="Times New Roman"/>
          <w:szCs w:val="24"/>
        </w:rPr>
        <w:footnoteReference w:id="11"/>
      </w:r>
      <w:r w:rsidRPr="00034E09">
        <w:rPr>
          <w:rFonts w:cs="Times New Roman"/>
          <w:szCs w:val="24"/>
        </w:rPr>
        <w:t xml:space="preserve">  For these reasons, the Center for American Progress describes the </w:t>
      </w:r>
      <w:r w:rsidRPr="00034E09">
        <w:rPr>
          <w:rFonts w:cs="Times New Roman"/>
          <w:szCs w:val="24"/>
        </w:rPr>
        <w:t xml:space="preserve">use of WTE, in conjunction with recycling and composting, as “a win-win-win” for the United States.  </w:t>
      </w:r>
      <w:hyperlink r:id="rId22" w:history="1">
        <w:r w:rsidRPr="00034E09">
          <w:rPr>
            <w:rStyle w:val="Hyperlink"/>
            <w:rFonts w:cs="Times New Roman"/>
            <w:szCs w:val="24"/>
          </w:rPr>
          <w:t>https://cdn.americanprogress.org/wp-content/uploads/2013/</w:t>
        </w:r>
        <w:r w:rsidRPr="00034E09">
          <w:rPr>
            <w:rStyle w:val="Hyperlink"/>
            <w:rFonts w:cs="Times New Roman"/>
            <w:szCs w:val="24"/>
          </w:rPr>
          <w:t>04/EnergyFromWaste-PDF1.pdf</w:t>
        </w:r>
      </w:hyperlink>
      <w:r w:rsidRPr="00034E09">
        <w:rPr>
          <w:rFonts w:cs="Times New Roman"/>
          <w:szCs w:val="24"/>
        </w:rPr>
        <w:t>.</w:t>
      </w:r>
    </w:p>
    <w:p w:rsidR="00034E09" w:rsidRPr="001D4A94" w:rsidRDefault="008941F4" w:rsidP="001D4A94">
      <w:pPr>
        <w:spacing w:line="480" w:lineRule="auto"/>
        <w:jc w:val="center"/>
        <w:rPr>
          <w:rFonts w:cs="Times New Roman"/>
          <w:b/>
          <w:szCs w:val="24"/>
          <w:u w:val="single"/>
        </w:rPr>
      </w:pPr>
      <w:r w:rsidRPr="001D4A94">
        <w:rPr>
          <w:rFonts w:cs="Times New Roman"/>
          <w:b/>
          <w:szCs w:val="24"/>
          <w:u w:val="single"/>
        </w:rPr>
        <w:t>C</w:t>
      </w:r>
      <w:r>
        <w:rPr>
          <w:rFonts w:cs="Times New Roman"/>
          <w:b/>
          <w:szCs w:val="24"/>
          <w:u w:val="single"/>
        </w:rPr>
        <w:t>ONCLUSION</w:t>
      </w:r>
    </w:p>
    <w:p w:rsidR="006277E0" w:rsidRDefault="008941F4" w:rsidP="006277E0">
      <w:pPr>
        <w:spacing w:line="480" w:lineRule="auto"/>
        <w:jc w:val="both"/>
        <w:rPr>
          <w:rFonts w:cs="Times New Roman"/>
          <w:szCs w:val="24"/>
        </w:rPr>
      </w:pPr>
      <w:r>
        <w:rPr>
          <w:rFonts w:cs="Times New Roman"/>
          <w:szCs w:val="24"/>
        </w:rPr>
        <w:tab/>
      </w:r>
      <w:r>
        <w:rPr>
          <w:rFonts w:cs="Times New Roman"/>
          <w:szCs w:val="24"/>
        </w:rPr>
        <w:t xml:space="preserve">Based on the foregoing, as well as for the reasons stated in the plaintiffs’ memorandum in support of their motion for summary judgment, </w:t>
      </w:r>
      <w:r w:rsidRPr="00727BFD">
        <w:rPr>
          <w:rFonts w:cs="Times New Roman"/>
          <w:i/>
          <w:szCs w:val="24"/>
        </w:rPr>
        <w:t>amici curiae</w:t>
      </w:r>
      <w:r>
        <w:rPr>
          <w:rFonts w:cs="Times New Roman"/>
          <w:szCs w:val="24"/>
        </w:rPr>
        <w:t xml:space="preserve"> </w:t>
      </w:r>
      <w:r>
        <w:rPr>
          <w:rFonts w:cs="Times New Roman"/>
          <w:szCs w:val="24"/>
        </w:rPr>
        <w:t xml:space="preserve">Local Government Coalition for Renewable Energy </w:t>
      </w:r>
      <w:r>
        <w:rPr>
          <w:rFonts w:cs="Times New Roman"/>
          <w:szCs w:val="24"/>
        </w:rPr>
        <w:t>respectfully r</w:t>
      </w:r>
      <w:r>
        <w:rPr>
          <w:rFonts w:cs="Times New Roman"/>
          <w:szCs w:val="24"/>
        </w:rPr>
        <w:t xml:space="preserve">equest that Baltimore City Ordinance 18-0306 be declared unlawful and its enforcement </w:t>
      </w:r>
      <w:r>
        <w:rPr>
          <w:rFonts w:cs="Times New Roman"/>
          <w:szCs w:val="24"/>
        </w:rPr>
        <w:t xml:space="preserve">permanently </w:t>
      </w:r>
      <w:r>
        <w:rPr>
          <w:rFonts w:cs="Times New Roman"/>
          <w:szCs w:val="24"/>
        </w:rPr>
        <w:t>enjoined.</w:t>
      </w:r>
    </w:p>
    <w:p w:rsidR="000F67A8" w:rsidRDefault="008941F4" w:rsidP="000F67A8">
      <w:pPr>
        <w:spacing w:line="480" w:lineRule="auto"/>
        <w:ind w:left="4680"/>
        <w:jc w:val="both"/>
        <w:rPr>
          <w:rFonts w:cs="Times New Roman"/>
          <w:szCs w:val="24"/>
        </w:rPr>
      </w:pPr>
      <w:r>
        <w:rPr>
          <w:rFonts w:cs="Times New Roman"/>
          <w:szCs w:val="24"/>
        </w:rPr>
        <w:t>Respectfully submitted,</w:t>
      </w:r>
    </w:p>
    <w:p w:rsidR="003B7C76" w:rsidRDefault="008941F4" w:rsidP="003B7C76">
      <w:pPr>
        <w:ind w:left="4680"/>
        <w:jc w:val="both"/>
        <w:rPr>
          <w:szCs w:val="24"/>
        </w:rPr>
      </w:pPr>
      <w:r w:rsidRPr="00CF7A01">
        <w:rPr>
          <w:szCs w:val="24"/>
        </w:rPr>
        <w:t>Scott M. DuBoff</w:t>
      </w:r>
    </w:p>
    <w:p w:rsidR="003B7C76" w:rsidRPr="00CF7A01" w:rsidRDefault="008941F4" w:rsidP="003B7C76">
      <w:pPr>
        <w:ind w:left="4680"/>
        <w:jc w:val="both"/>
        <w:rPr>
          <w:szCs w:val="24"/>
        </w:rPr>
      </w:pPr>
      <w:r>
        <w:rPr>
          <w:szCs w:val="24"/>
        </w:rPr>
        <w:t>____________________</w:t>
      </w:r>
    </w:p>
    <w:p w:rsidR="003B7C76" w:rsidRDefault="008941F4" w:rsidP="003B7C76">
      <w:pPr>
        <w:ind w:left="4680"/>
        <w:jc w:val="both"/>
        <w:rPr>
          <w:szCs w:val="24"/>
        </w:rPr>
      </w:pPr>
      <w:r w:rsidRPr="00CF7A01">
        <w:rPr>
          <w:szCs w:val="24"/>
        </w:rPr>
        <w:t>Benjamin J. Lambiotte</w:t>
      </w:r>
    </w:p>
    <w:p w:rsidR="003110F7" w:rsidRPr="00CF7A01" w:rsidRDefault="008941F4" w:rsidP="003B7C76">
      <w:pPr>
        <w:ind w:left="4680"/>
        <w:jc w:val="both"/>
        <w:rPr>
          <w:szCs w:val="24"/>
        </w:rPr>
      </w:pPr>
      <w:r>
        <w:rPr>
          <w:szCs w:val="24"/>
        </w:rPr>
        <w:t>_____________________</w:t>
      </w:r>
    </w:p>
    <w:p w:rsidR="003B7C76" w:rsidRPr="00CF7A01" w:rsidRDefault="008941F4" w:rsidP="003B7C76">
      <w:pPr>
        <w:ind w:left="4680"/>
        <w:jc w:val="both"/>
        <w:rPr>
          <w:szCs w:val="24"/>
        </w:rPr>
      </w:pPr>
      <w:r w:rsidRPr="00CF7A01">
        <w:rPr>
          <w:szCs w:val="24"/>
        </w:rPr>
        <w:t>Garvey Schubert Barer, P.C.</w:t>
      </w:r>
    </w:p>
    <w:p w:rsidR="003B7C76" w:rsidRPr="00CF7A01" w:rsidRDefault="008941F4" w:rsidP="003B7C76">
      <w:pPr>
        <w:ind w:left="4680"/>
        <w:jc w:val="both"/>
        <w:rPr>
          <w:szCs w:val="24"/>
        </w:rPr>
      </w:pPr>
      <w:r w:rsidRPr="00CF7A01">
        <w:rPr>
          <w:szCs w:val="24"/>
        </w:rPr>
        <w:t xml:space="preserve">1000 </w:t>
      </w:r>
      <w:r w:rsidRPr="00CF7A01">
        <w:rPr>
          <w:szCs w:val="24"/>
        </w:rPr>
        <w:t>Potomac St., NW, Suite 200</w:t>
      </w:r>
    </w:p>
    <w:p w:rsidR="003B7C76" w:rsidRPr="00CF7A01" w:rsidRDefault="008941F4" w:rsidP="003B7C76">
      <w:pPr>
        <w:ind w:left="4680"/>
        <w:jc w:val="both"/>
        <w:rPr>
          <w:szCs w:val="24"/>
        </w:rPr>
      </w:pPr>
      <w:r w:rsidRPr="00CF7A01">
        <w:rPr>
          <w:szCs w:val="24"/>
        </w:rPr>
        <w:t>Washington, D.C. 20007</w:t>
      </w:r>
    </w:p>
    <w:p w:rsidR="003B7C76" w:rsidRPr="00CF7A01" w:rsidRDefault="008941F4" w:rsidP="003B7C76">
      <w:pPr>
        <w:ind w:left="4680"/>
        <w:jc w:val="both"/>
        <w:rPr>
          <w:szCs w:val="24"/>
        </w:rPr>
      </w:pPr>
      <w:r w:rsidRPr="00CF7A01">
        <w:rPr>
          <w:szCs w:val="24"/>
        </w:rPr>
        <w:t>202-965-7880</w:t>
      </w:r>
    </w:p>
    <w:p w:rsidR="003B7C76" w:rsidRPr="00CF7A01" w:rsidRDefault="008941F4" w:rsidP="003B7C76">
      <w:pPr>
        <w:ind w:left="4680"/>
        <w:jc w:val="both"/>
        <w:rPr>
          <w:i/>
          <w:szCs w:val="24"/>
        </w:rPr>
      </w:pPr>
      <w:r w:rsidRPr="00CF7A01">
        <w:rPr>
          <w:i/>
          <w:szCs w:val="24"/>
        </w:rPr>
        <w:t>Counsel for Amici Curiae</w:t>
      </w:r>
    </w:p>
    <w:p w:rsidR="003110F7" w:rsidRDefault="008941F4" w:rsidP="003B7C76">
      <w:pPr>
        <w:spacing w:line="480" w:lineRule="auto"/>
        <w:jc w:val="both"/>
        <w:rPr>
          <w:szCs w:val="24"/>
        </w:rPr>
      </w:pPr>
    </w:p>
    <w:p w:rsidR="006277E0" w:rsidRDefault="008941F4" w:rsidP="003B7C76">
      <w:pPr>
        <w:spacing w:line="480" w:lineRule="auto"/>
        <w:jc w:val="both"/>
        <w:rPr>
          <w:rFonts w:cs="Times New Roman"/>
          <w:szCs w:val="24"/>
        </w:rPr>
      </w:pPr>
      <w:r w:rsidRPr="00CF7A01">
        <w:rPr>
          <w:szCs w:val="24"/>
        </w:rPr>
        <w:t>August 30, 201</w:t>
      </w:r>
      <w:r>
        <w:rPr>
          <w:szCs w:val="24"/>
        </w:rPr>
        <w:t>9</w:t>
      </w:r>
    </w:p>
    <w:p w:rsidR="006277E0" w:rsidRDefault="008941F4" w:rsidP="006277E0">
      <w:pPr>
        <w:spacing w:line="480" w:lineRule="auto"/>
        <w:jc w:val="both"/>
        <w:rPr>
          <w:rFonts w:cs="Times New Roman"/>
          <w:szCs w:val="24"/>
        </w:rPr>
      </w:pPr>
    </w:p>
    <w:p w:rsidR="003110F7" w:rsidRDefault="008941F4" w:rsidP="006277E0">
      <w:pPr>
        <w:spacing w:line="480" w:lineRule="auto"/>
        <w:jc w:val="both"/>
        <w:rPr>
          <w:rFonts w:cs="Times New Roman"/>
          <w:szCs w:val="24"/>
        </w:rPr>
      </w:pPr>
    </w:p>
    <w:p w:rsidR="006277E0" w:rsidRDefault="008941F4" w:rsidP="006277E0">
      <w:pPr>
        <w:spacing w:line="480" w:lineRule="auto"/>
        <w:jc w:val="both"/>
        <w:rPr>
          <w:rFonts w:cs="Times New Roman"/>
          <w:szCs w:val="24"/>
        </w:rPr>
      </w:pPr>
    </w:p>
    <w:p w:rsidR="00404F94" w:rsidRDefault="008941F4" w:rsidP="006277E0">
      <w:pPr>
        <w:spacing w:line="480" w:lineRule="auto"/>
        <w:jc w:val="both"/>
        <w:rPr>
          <w:rFonts w:cs="Times New Roman"/>
          <w:szCs w:val="24"/>
        </w:rPr>
        <w:sectPr w:rsidR="00404F94" w:rsidSect="002A4ED0">
          <w:footerReference w:type="default" r:id="rId23"/>
          <w:pgSz w:w="12240" w:h="15840"/>
          <w:pgMar w:top="1440" w:right="1440" w:bottom="1440" w:left="1440" w:header="720" w:footer="720" w:gutter="0"/>
          <w:pgNumType w:start="1"/>
          <w:cols w:space="720"/>
          <w:titlePg/>
          <w:docGrid w:linePitch="360"/>
        </w:sectPr>
      </w:pPr>
    </w:p>
    <w:p w:rsidR="002A4ED0" w:rsidRDefault="008941F4" w:rsidP="002A4ED0">
      <w:pPr>
        <w:jc w:val="center"/>
        <w:rPr>
          <w:rFonts w:cs="Times New Roman"/>
          <w:b/>
          <w:szCs w:val="24"/>
        </w:rPr>
      </w:pPr>
      <w:r>
        <w:rPr>
          <w:rFonts w:cs="Times New Roman"/>
          <w:b/>
          <w:szCs w:val="24"/>
        </w:rPr>
        <w:lastRenderedPageBreak/>
        <w:t>CERTIFICATE OF SERVICE</w:t>
      </w:r>
    </w:p>
    <w:p w:rsidR="002A4ED0" w:rsidRDefault="008941F4" w:rsidP="002A4ED0">
      <w:pPr>
        <w:jc w:val="center"/>
        <w:rPr>
          <w:rFonts w:cs="Times New Roman"/>
          <w:b/>
          <w:szCs w:val="24"/>
        </w:rPr>
      </w:pPr>
    </w:p>
    <w:p w:rsidR="002A4ED0" w:rsidRDefault="008941F4" w:rsidP="002A4ED0">
      <w:pPr>
        <w:jc w:val="center"/>
        <w:rPr>
          <w:rFonts w:cs="Times New Roman"/>
          <w:b/>
          <w:szCs w:val="24"/>
        </w:rPr>
      </w:pPr>
    </w:p>
    <w:p w:rsidR="002A4ED0" w:rsidRDefault="008941F4" w:rsidP="002A4ED0">
      <w:pPr>
        <w:jc w:val="center"/>
        <w:rPr>
          <w:rFonts w:cs="Times New Roman"/>
          <w:b/>
          <w:szCs w:val="24"/>
        </w:rPr>
      </w:pPr>
    </w:p>
    <w:p w:rsidR="002A4ED0" w:rsidRDefault="008941F4" w:rsidP="002A4ED0">
      <w:pPr>
        <w:jc w:val="center"/>
        <w:rPr>
          <w:rFonts w:cs="Times New Roman"/>
          <w:b/>
          <w:szCs w:val="24"/>
        </w:rPr>
      </w:pPr>
    </w:p>
    <w:p w:rsidR="006277E0" w:rsidRDefault="008941F4" w:rsidP="006277E0">
      <w:pPr>
        <w:spacing w:line="480" w:lineRule="auto"/>
        <w:jc w:val="both"/>
        <w:rPr>
          <w:rFonts w:cs="Times New Roman"/>
          <w:szCs w:val="24"/>
        </w:rPr>
      </w:pPr>
    </w:p>
    <w:p w:rsidR="006277E0" w:rsidRDefault="008941F4" w:rsidP="006277E0">
      <w:pPr>
        <w:spacing w:line="480" w:lineRule="auto"/>
        <w:jc w:val="both"/>
        <w:rPr>
          <w:rFonts w:cs="Times New Roman"/>
          <w:szCs w:val="24"/>
        </w:rPr>
      </w:pPr>
    </w:p>
    <w:p w:rsidR="00DC045A" w:rsidRDefault="008941F4" w:rsidP="006277E0">
      <w:pPr>
        <w:spacing w:after="240" w:line="480" w:lineRule="auto"/>
        <w:jc w:val="both"/>
        <w:rPr>
          <w:rFonts w:cs="Times New Roman"/>
          <w:szCs w:val="24"/>
        </w:rPr>
      </w:pPr>
    </w:p>
    <w:p w:rsidR="00A60BEB" w:rsidRPr="00F30EF0" w:rsidRDefault="008941F4" w:rsidP="00DB08B7">
      <w:pPr>
        <w:spacing w:line="480" w:lineRule="auto"/>
        <w:jc w:val="both"/>
        <w:rPr>
          <w:rFonts w:cs="Times New Roman"/>
          <w:szCs w:val="24"/>
        </w:rPr>
      </w:pPr>
    </w:p>
    <w:sectPr w:rsidR="00A60BEB" w:rsidRPr="00F30EF0">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1F4" w:rsidRDefault="008941F4">
      <w:r>
        <w:separator/>
      </w:r>
    </w:p>
  </w:endnote>
  <w:endnote w:type="continuationSeparator" w:id="0">
    <w:p w:rsidR="008941F4" w:rsidRDefault="00894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F94" w:rsidRDefault="008941F4" w:rsidP="006E1D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4F94" w:rsidRDefault="00894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F94" w:rsidRDefault="008941F4">
    <w:pPr>
      <w:pStyle w:val="Footer"/>
      <w:jc w:val="center"/>
    </w:pPr>
    <w:r>
      <w:fldChar w:fldCharType="begin"/>
    </w:r>
    <w:r>
      <w:instrText xml:space="preserve"> PAGE   \* MERGEFORMAT </w:instrText>
    </w:r>
    <w:r>
      <w:fldChar w:fldCharType="separate"/>
    </w:r>
    <w:r>
      <w:rPr>
        <w:noProof/>
      </w:rPr>
      <w:t>v</w:t>
    </w:r>
    <w:r>
      <w:fldChar w:fldCharType="end"/>
    </w:r>
  </w:p>
  <w:p w:rsidR="00404F94" w:rsidRDefault="00894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2537496"/>
      <w:docPartObj>
        <w:docPartGallery w:val="Page Numbers (Bottom of Page)"/>
        <w:docPartUnique/>
      </w:docPartObj>
    </w:sdtPr>
    <w:sdtEndPr>
      <w:rPr>
        <w:noProof/>
      </w:rPr>
    </w:sdtEndPr>
    <w:sdtContent>
      <w:p w:rsidR="002A4ED0" w:rsidRDefault="008941F4">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4B2CBA" w:rsidRDefault="008941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258032"/>
      <w:docPartObj>
        <w:docPartGallery w:val="Page Numbers (Bottom of Page)"/>
        <w:docPartUnique/>
      </w:docPartObj>
    </w:sdtPr>
    <w:sdtEndPr>
      <w:rPr>
        <w:noProof/>
      </w:rPr>
    </w:sdtEndPr>
    <w:sdtContent>
      <w:p w:rsidR="002A4ED0" w:rsidRDefault="008941F4">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rsidR="002A4ED0" w:rsidRDefault="008941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508" w:rsidRDefault="008941F4" w:rsidP="00166508">
    <w:pPr>
      <w:pStyle w:val="Footer"/>
    </w:pPr>
  </w:p>
  <w:p w:rsidR="00166508" w:rsidRDefault="00894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1F4" w:rsidRDefault="008941F4" w:rsidP="00454D8B">
      <w:r>
        <w:separator/>
      </w:r>
    </w:p>
  </w:footnote>
  <w:footnote w:type="continuationSeparator" w:id="0">
    <w:p w:rsidR="008941F4" w:rsidRDefault="008941F4" w:rsidP="00454D8B">
      <w:r>
        <w:continuationSeparator/>
      </w:r>
    </w:p>
  </w:footnote>
  <w:footnote w:id="1">
    <w:p w:rsidR="00ED1FAB" w:rsidRPr="003F74E7" w:rsidRDefault="008941F4" w:rsidP="00ED1FAB">
      <w:pPr>
        <w:pStyle w:val="FootnoteText"/>
        <w:tabs>
          <w:tab w:val="left" w:pos="360"/>
        </w:tabs>
        <w:spacing w:after="120"/>
        <w:ind w:left="360" w:hanging="360"/>
        <w:jc w:val="both"/>
        <w:rPr>
          <w:rFonts w:ascii="Times New Roman" w:hAnsi="Times New Roman" w:cs="Times New Roman"/>
          <w:sz w:val="24"/>
          <w:szCs w:val="24"/>
        </w:rPr>
      </w:pPr>
      <w:r w:rsidRPr="003F74E7">
        <w:rPr>
          <w:rStyle w:val="FootnoteReference"/>
          <w:rFonts w:ascii="Times New Roman" w:hAnsi="Times New Roman" w:cs="Times New Roman"/>
          <w:sz w:val="24"/>
          <w:szCs w:val="24"/>
        </w:rPr>
        <w:footnoteRef/>
      </w:r>
      <w:r>
        <w:rPr>
          <w:rFonts w:ascii="Times New Roman" w:hAnsi="Times New Roman" w:cs="Times New Roman"/>
          <w:i/>
          <w:iCs/>
          <w:sz w:val="24"/>
          <w:szCs w:val="24"/>
        </w:rPr>
        <w:tab/>
      </w:r>
      <w:r w:rsidRPr="003F74E7">
        <w:rPr>
          <w:rFonts w:ascii="Times New Roman" w:hAnsi="Times New Roman" w:cs="Times New Roman"/>
          <w:i/>
          <w:iCs/>
          <w:sz w:val="24"/>
          <w:szCs w:val="24"/>
        </w:rPr>
        <w:t>Amici</w:t>
      </w:r>
      <w:r>
        <w:rPr>
          <w:rFonts w:ascii="Times New Roman" w:hAnsi="Times New Roman" w:cs="Times New Roman"/>
          <w:sz w:val="24"/>
          <w:szCs w:val="24"/>
        </w:rPr>
        <w:t xml:space="preserve"> participate in a variety of state and federal forums (rulemaking proceedings, legislative hearings, and trial and appellate court proceedings) as the </w:t>
      </w:r>
      <w:r w:rsidRPr="001609B9">
        <w:rPr>
          <w:rFonts w:ascii="Times New Roman" w:hAnsi="Times New Roman" w:cs="Times New Roman"/>
          <w:i/>
          <w:iCs/>
          <w:sz w:val="24"/>
          <w:szCs w:val="24"/>
        </w:rPr>
        <w:t>Local Government Coalition for Renewable Energy</w:t>
      </w:r>
      <w:r>
        <w:rPr>
          <w:rFonts w:ascii="Times New Roman" w:hAnsi="Times New Roman" w:cs="Times New Roman"/>
          <w:sz w:val="24"/>
          <w:szCs w:val="24"/>
        </w:rPr>
        <w:t xml:space="preserve">, which consists of the following entities:  City of Ames </w:t>
      </w:r>
      <w:r>
        <w:rPr>
          <w:rFonts w:ascii="Times New Roman" w:hAnsi="Times New Roman" w:cs="Times New Roman"/>
          <w:sz w:val="24"/>
          <w:szCs w:val="24"/>
        </w:rPr>
        <w:t>(IA), Ecomaine (ME), City and County of Honolulu (HI), Kent County (MI), Lancaster County Solid Waste Management Authority (PA), Lee County (FL), Marion County (OR), Solid Waste Disposal Authority of Palm Beach County (FL), Solid Waste Disposal Authority o</w:t>
      </w:r>
      <w:r>
        <w:rPr>
          <w:rFonts w:ascii="Times New Roman" w:hAnsi="Times New Roman" w:cs="Times New Roman"/>
          <w:sz w:val="24"/>
          <w:szCs w:val="24"/>
        </w:rPr>
        <w:t xml:space="preserve">f the City of Huntsville (AL), Spokane Regional Solid Waste Authority (OR), </w:t>
      </w:r>
      <w:r w:rsidRPr="005117DB">
        <w:rPr>
          <w:rFonts w:ascii="Times New Roman" w:hAnsi="Times New Roman" w:cs="Times New Roman"/>
          <w:sz w:val="24"/>
          <w:szCs w:val="24"/>
        </w:rPr>
        <w:t>Wasatch Integrated Waste Management District (UT)</w:t>
      </w:r>
      <w:r>
        <w:rPr>
          <w:rFonts w:ascii="Times New Roman" w:hAnsi="Times New Roman" w:cs="Times New Roman"/>
          <w:sz w:val="24"/>
          <w:szCs w:val="24"/>
        </w:rPr>
        <w:t xml:space="preserve">, </w:t>
      </w:r>
      <w:r>
        <w:rPr>
          <w:rFonts w:ascii="Times New Roman" w:hAnsi="Times New Roman" w:cs="Times New Roman"/>
          <w:sz w:val="24"/>
          <w:szCs w:val="24"/>
        </w:rPr>
        <w:t xml:space="preserve">and the </w:t>
      </w:r>
      <w:r>
        <w:rPr>
          <w:rFonts w:ascii="Times New Roman" w:hAnsi="Times New Roman" w:cs="Times New Roman"/>
          <w:sz w:val="24"/>
          <w:szCs w:val="24"/>
        </w:rPr>
        <w:t>York County Solid Waste and Refuse Authority (PA).</w:t>
      </w:r>
    </w:p>
  </w:footnote>
  <w:footnote w:id="2">
    <w:p w:rsidR="006277E0" w:rsidRPr="00D36478" w:rsidRDefault="008941F4" w:rsidP="00FF3F22">
      <w:pPr>
        <w:pStyle w:val="FootnoteText"/>
        <w:tabs>
          <w:tab w:val="left" w:pos="360"/>
        </w:tabs>
        <w:spacing w:after="120"/>
        <w:ind w:left="360" w:hanging="360"/>
        <w:jc w:val="both"/>
        <w:rPr>
          <w:rFonts w:ascii="Times New Roman" w:hAnsi="Times New Roman" w:cs="Times New Roman"/>
          <w:sz w:val="24"/>
          <w:szCs w:val="24"/>
        </w:rPr>
      </w:pPr>
      <w:r w:rsidRPr="00D36478">
        <w:rPr>
          <w:rStyle w:val="FootnoteReference"/>
          <w:rFonts w:ascii="Times New Roman" w:hAnsi="Times New Roman" w:cs="Times New Roman"/>
          <w:sz w:val="24"/>
          <w:szCs w:val="24"/>
        </w:rPr>
        <w:footnoteRef/>
      </w:r>
      <w:r>
        <w:rPr>
          <w:rFonts w:ascii="Times New Roman" w:hAnsi="Times New Roman" w:cs="Times New Roman"/>
          <w:sz w:val="24"/>
          <w:szCs w:val="24"/>
        </w:rPr>
        <w:tab/>
        <w:t xml:space="preserve">The World Economic Forum is </w:t>
      </w:r>
      <w:r>
        <w:rPr>
          <w:rFonts w:ascii="Times New Roman" w:hAnsi="Times New Roman" w:cs="Times New Roman"/>
          <w:sz w:val="24"/>
          <w:szCs w:val="24"/>
        </w:rPr>
        <w:t xml:space="preserve">an </w:t>
      </w:r>
      <w:r>
        <w:rPr>
          <w:rFonts w:ascii="Times New Roman" w:hAnsi="Times New Roman" w:cs="Times New Roman"/>
          <w:sz w:val="24"/>
          <w:szCs w:val="24"/>
        </w:rPr>
        <w:t>international nonprofit</w:t>
      </w:r>
      <w:r>
        <w:rPr>
          <w:rFonts w:ascii="Times New Roman" w:hAnsi="Times New Roman" w:cs="Times New Roman"/>
          <w:sz w:val="24"/>
          <w:szCs w:val="24"/>
        </w:rPr>
        <w:t xml:space="preserve"> organization </w:t>
      </w:r>
      <w:r>
        <w:rPr>
          <w:rFonts w:ascii="Times New Roman" w:hAnsi="Times New Roman" w:cs="Times New Roman"/>
          <w:sz w:val="24"/>
          <w:szCs w:val="24"/>
        </w:rPr>
        <w:t xml:space="preserve">for public-private cooperation.  </w:t>
      </w:r>
      <w:r>
        <w:rPr>
          <w:rFonts w:ascii="Times New Roman" w:hAnsi="Times New Roman" w:cs="Times New Roman"/>
          <w:sz w:val="24"/>
          <w:szCs w:val="24"/>
        </w:rPr>
        <w:t>The Forum was i</w:t>
      </w:r>
      <w:r>
        <w:rPr>
          <w:rFonts w:ascii="Times New Roman" w:hAnsi="Times New Roman" w:cs="Times New Roman"/>
          <w:sz w:val="24"/>
          <w:szCs w:val="24"/>
        </w:rPr>
        <w:t>ncorporated in 1971</w:t>
      </w:r>
      <w:r>
        <w:rPr>
          <w:rFonts w:ascii="Times New Roman" w:hAnsi="Times New Roman" w:cs="Times New Roman"/>
          <w:sz w:val="24"/>
          <w:szCs w:val="24"/>
        </w:rPr>
        <w:t xml:space="preserve"> and </w:t>
      </w:r>
      <w:r>
        <w:rPr>
          <w:rFonts w:ascii="Times New Roman" w:hAnsi="Times New Roman" w:cs="Times New Roman"/>
          <w:sz w:val="24"/>
          <w:szCs w:val="24"/>
        </w:rPr>
        <w:t xml:space="preserve">is </w:t>
      </w:r>
      <w:r>
        <w:rPr>
          <w:rFonts w:ascii="Times New Roman" w:hAnsi="Times New Roman" w:cs="Times New Roman"/>
          <w:sz w:val="24"/>
          <w:szCs w:val="24"/>
        </w:rPr>
        <w:t xml:space="preserve">headquartered in </w:t>
      </w:r>
      <w:r w:rsidRPr="0076000E">
        <w:rPr>
          <w:rFonts w:ascii="Times New Roman" w:hAnsi="Times New Roman" w:cs="Times New Roman"/>
          <w:sz w:val="24"/>
          <w:szCs w:val="24"/>
          <w:lang w:val="en"/>
        </w:rPr>
        <w:t>Geneva, Switzerland</w:t>
      </w:r>
      <w:r>
        <w:rPr>
          <w:rFonts w:ascii="Times New Roman" w:hAnsi="Times New Roman" w:cs="Times New Roman"/>
          <w:sz w:val="24"/>
          <w:szCs w:val="24"/>
          <w:lang w:val="en"/>
        </w:rPr>
        <w:t>.  The Forum is dedicated to</w:t>
      </w:r>
      <w:r w:rsidRPr="00C71179">
        <w:rPr>
          <w:rFonts w:ascii="Times New Roman" w:hAnsi="Times New Roman" w:cs="Times New Roman"/>
          <w:sz w:val="24"/>
          <w:szCs w:val="24"/>
          <w:lang w:val="en"/>
        </w:rPr>
        <w:t xml:space="preserve"> improving </w:t>
      </w:r>
      <w:r>
        <w:rPr>
          <w:rFonts w:ascii="Times New Roman" w:hAnsi="Times New Roman" w:cs="Times New Roman"/>
          <w:sz w:val="24"/>
          <w:szCs w:val="24"/>
          <w:lang w:val="en"/>
        </w:rPr>
        <w:t xml:space="preserve">global well-being through </w:t>
      </w:r>
      <w:r w:rsidRPr="00C71179">
        <w:rPr>
          <w:rFonts w:ascii="Times New Roman" w:hAnsi="Times New Roman" w:cs="Times New Roman"/>
          <w:sz w:val="24"/>
          <w:szCs w:val="24"/>
          <w:lang w:val="en"/>
        </w:rPr>
        <w:t>engag</w:t>
      </w:r>
      <w:r>
        <w:rPr>
          <w:rFonts w:ascii="Times New Roman" w:hAnsi="Times New Roman" w:cs="Times New Roman"/>
          <w:sz w:val="24"/>
          <w:szCs w:val="24"/>
          <w:lang w:val="en"/>
        </w:rPr>
        <w:t>e</w:t>
      </w:r>
      <w:r>
        <w:rPr>
          <w:rFonts w:ascii="Times New Roman" w:hAnsi="Times New Roman" w:cs="Times New Roman"/>
          <w:sz w:val="24"/>
          <w:szCs w:val="24"/>
          <w:lang w:val="en"/>
        </w:rPr>
        <w:t xml:space="preserve">ment </w:t>
      </w:r>
      <w:r>
        <w:rPr>
          <w:rFonts w:ascii="Times New Roman" w:hAnsi="Times New Roman" w:cs="Times New Roman"/>
          <w:sz w:val="24"/>
          <w:szCs w:val="24"/>
          <w:lang w:val="en"/>
        </w:rPr>
        <w:t xml:space="preserve">of </w:t>
      </w:r>
      <w:r>
        <w:rPr>
          <w:rFonts w:ascii="Times New Roman" w:hAnsi="Times New Roman" w:cs="Times New Roman"/>
          <w:sz w:val="24"/>
          <w:szCs w:val="24"/>
          <w:lang w:val="en"/>
        </w:rPr>
        <w:t xml:space="preserve">stakeholders from </w:t>
      </w:r>
      <w:r>
        <w:rPr>
          <w:rFonts w:ascii="Times New Roman" w:hAnsi="Times New Roman" w:cs="Times New Roman"/>
          <w:sz w:val="24"/>
          <w:szCs w:val="24"/>
          <w:lang w:val="en"/>
        </w:rPr>
        <w:t>b</w:t>
      </w:r>
      <w:r w:rsidRPr="00C71179">
        <w:rPr>
          <w:rFonts w:ascii="Times New Roman" w:hAnsi="Times New Roman" w:cs="Times New Roman"/>
          <w:sz w:val="24"/>
          <w:szCs w:val="24"/>
          <w:lang w:val="en"/>
        </w:rPr>
        <w:t xml:space="preserve">usiness, </w:t>
      </w:r>
      <w:r>
        <w:rPr>
          <w:rFonts w:ascii="Times New Roman" w:hAnsi="Times New Roman" w:cs="Times New Roman"/>
          <w:sz w:val="24"/>
          <w:szCs w:val="24"/>
          <w:lang w:val="en"/>
        </w:rPr>
        <w:t>government and</w:t>
      </w:r>
      <w:r w:rsidRPr="00C71179">
        <w:rPr>
          <w:rFonts w:ascii="Times New Roman" w:hAnsi="Times New Roman" w:cs="Times New Roman"/>
          <w:sz w:val="24"/>
          <w:szCs w:val="24"/>
          <w:lang w:val="en"/>
        </w:rPr>
        <w:t xml:space="preserve"> academi</w:t>
      </w:r>
      <w:r>
        <w:rPr>
          <w:rFonts w:ascii="Times New Roman" w:hAnsi="Times New Roman" w:cs="Times New Roman"/>
          <w:sz w:val="24"/>
          <w:szCs w:val="24"/>
          <w:lang w:val="en"/>
        </w:rPr>
        <w:t xml:space="preserve">a.  </w:t>
      </w:r>
      <w:r w:rsidRPr="00FD4CF2">
        <w:rPr>
          <w:rFonts w:ascii="Times New Roman" w:hAnsi="Times New Roman" w:cs="Times New Roman"/>
          <w:i/>
          <w:sz w:val="24"/>
          <w:szCs w:val="24"/>
          <w:lang w:val="en"/>
        </w:rPr>
        <w:t xml:space="preserve">See </w:t>
      </w:r>
      <w:r w:rsidRPr="00FD4CF2">
        <w:rPr>
          <w:rFonts w:ascii="Times New Roman" w:hAnsi="Times New Roman" w:cs="Times New Roman"/>
          <w:i/>
          <w:sz w:val="24"/>
          <w:szCs w:val="24"/>
          <w:lang w:val="en"/>
        </w:rPr>
        <w:t>generally</w:t>
      </w:r>
      <w:r>
        <w:rPr>
          <w:rFonts w:ascii="Times New Roman" w:hAnsi="Times New Roman" w:cs="Times New Roman"/>
          <w:sz w:val="24"/>
          <w:szCs w:val="24"/>
          <w:lang w:val="en"/>
        </w:rPr>
        <w:t xml:space="preserve"> </w:t>
      </w:r>
      <w:hyperlink r:id="rId1" w:history="1">
        <w:r w:rsidRPr="00EE19BF">
          <w:rPr>
            <w:rStyle w:val="Hyperlink"/>
            <w:rFonts w:ascii="Times New Roman" w:hAnsi="Times New Roman" w:cs="Times New Roman"/>
            <w:sz w:val="24"/>
            <w:szCs w:val="24"/>
            <w:lang w:val="en"/>
          </w:rPr>
          <w:t>https://www.weforum.org/about/world-economic-forum</w:t>
        </w:r>
      </w:hyperlink>
      <w:r>
        <w:rPr>
          <w:rFonts w:ascii="Times New Roman" w:hAnsi="Times New Roman" w:cs="Times New Roman"/>
          <w:sz w:val="24"/>
          <w:szCs w:val="24"/>
          <w:lang w:val="en"/>
        </w:rPr>
        <w:t>.</w:t>
      </w:r>
    </w:p>
  </w:footnote>
  <w:footnote w:id="3">
    <w:p w:rsidR="00653CFA" w:rsidRPr="00653CFA" w:rsidRDefault="008941F4" w:rsidP="0056751C">
      <w:pPr>
        <w:pStyle w:val="FootnoteText"/>
        <w:tabs>
          <w:tab w:val="left" w:pos="360"/>
        </w:tabs>
        <w:ind w:left="360" w:hanging="360"/>
        <w:jc w:val="both"/>
        <w:rPr>
          <w:rFonts w:ascii="Times New Roman" w:hAnsi="Times New Roman" w:cs="Times New Roman"/>
          <w:sz w:val="24"/>
          <w:szCs w:val="24"/>
        </w:rPr>
      </w:pPr>
      <w:r w:rsidRPr="00653CFA">
        <w:rPr>
          <w:rStyle w:val="FootnoteReference"/>
          <w:rFonts w:ascii="Times New Roman" w:hAnsi="Times New Roman" w:cs="Times New Roman"/>
          <w:sz w:val="24"/>
          <w:szCs w:val="24"/>
        </w:rPr>
        <w:footnoteRef/>
      </w:r>
      <w:r>
        <w:rPr>
          <w:rFonts w:ascii="Times New Roman" w:hAnsi="Times New Roman" w:cs="Times New Roman"/>
          <w:sz w:val="24"/>
          <w:szCs w:val="24"/>
        </w:rPr>
        <w:tab/>
      </w:r>
      <w:r>
        <w:rPr>
          <w:rFonts w:ascii="Times New Roman" w:hAnsi="Times New Roman" w:cs="Times New Roman"/>
          <w:sz w:val="24"/>
          <w:szCs w:val="24"/>
        </w:rPr>
        <w:t>[</w:t>
      </w:r>
      <w:r w:rsidRPr="0056751C">
        <w:rPr>
          <w:rFonts w:ascii="Times New Roman" w:hAnsi="Times New Roman" w:cs="Times New Roman"/>
          <w:sz w:val="24"/>
          <w:szCs w:val="24"/>
          <w:highlight w:val="yellow"/>
        </w:rPr>
        <w:t xml:space="preserve">insert Coalition members input </w:t>
      </w:r>
      <w:r>
        <w:rPr>
          <w:rFonts w:ascii="Times New Roman" w:hAnsi="Times New Roman" w:cs="Times New Roman"/>
          <w:sz w:val="24"/>
          <w:szCs w:val="24"/>
          <w:highlight w:val="yellow"/>
        </w:rPr>
        <w:t>to support the preceding statement in the text</w:t>
      </w:r>
      <w:r>
        <w:rPr>
          <w:rFonts w:ascii="Times New Roman" w:hAnsi="Times New Roman" w:cs="Times New Roman"/>
          <w:sz w:val="24"/>
          <w:szCs w:val="24"/>
        </w:rPr>
        <w:t xml:space="preserve">].  </w:t>
      </w:r>
      <w:r>
        <w:rPr>
          <w:rFonts w:ascii="Times New Roman" w:hAnsi="Times New Roman" w:cs="Times New Roman"/>
          <w:sz w:val="24"/>
          <w:szCs w:val="24"/>
        </w:rPr>
        <w:t xml:space="preserve">Such praise is not, moreover, unique to the U.S.  For example, in Denmark </w:t>
      </w:r>
      <w:r>
        <w:rPr>
          <w:rFonts w:ascii="Times New Roman" w:hAnsi="Times New Roman" w:cs="Times New Roman"/>
          <w:sz w:val="24"/>
          <w:szCs w:val="24"/>
        </w:rPr>
        <w:t xml:space="preserve">“attitudes could hardly be more different” (than the attitude that underlies Ordinance 18-0306) </w:t>
      </w:r>
      <w:r>
        <w:rPr>
          <w:rFonts w:ascii="Times New Roman" w:hAnsi="Times New Roman" w:cs="Times New Roman"/>
          <w:sz w:val="24"/>
          <w:szCs w:val="24"/>
        </w:rPr>
        <w:t xml:space="preserve">and “communities vie to have [WTE plants] built” in their neighborhoods.  </w:t>
      </w:r>
      <w:r w:rsidRPr="009A5D3B">
        <w:rPr>
          <w:rFonts w:ascii="Times New Roman" w:hAnsi="Times New Roman" w:cs="Times New Roman"/>
          <w:i/>
          <w:sz w:val="24"/>
          <w:szCs w:val="24"/>
        </w:rPr>
        <w:t xml:space="preserve">See </w:t>
      </w:r>
      <w:r w:rsidRPr="00454D4C">
        <w:rPr>
          <w:rFonts w:ascii="Times New Roman" w:hAnsi="Times New Roman" w:cs="Times New Roman"/>
          <w:i/>
          <w:sz w:val="24"/>
          <w:szCs w:val="24"/>
        </w:rPr>
        <w:t>Europe F</w:t>
      </w:r>
      <w:r w:rsidRPr="00454D4C">
        <w:rPr>
          <w:rFonts w:ascii="Times New Roman" w:hAnsi="Times New Roman" w:cs="Times New Roman"/>
          <w:i/>
          <w:sz w:val="24"/>
          <w:szCs w:val="24"/>
        </w:rPr>
        <w:t>inds Clean Energy in Trash, but U.S. Lags</w:t>
      </w:r>
      <w:r w:rsidRPr="00454D4C">
        <w:rPr>
          <w:rFonts w:ascii="Times New Roman" w:hAnsi="Times New Roman" w:cs="Times New Roman"/>
          <w:i/>
          <w:sz w:val="24"/>
          <w:szCs w:val="24"/>
        </w:rPr>
        <w:t xml:space="preserve"> Behind</w:t>
      </w:r>
      <w:r>
        <w:rPr>
          <w:rFonts w:ascii="Times New Roman" w:hAnsi="Times New Roman" w:cs="Times New Roman"/>
          <w:sz w:val="24"/>
          <w:szCs w:val="24"/>
        </w:rPr>
        <w:t xml:space="preserve">, </w:t>
      </w:r>
      <w:r>
        <w:rPr>
          <w:rFonts w:ascii="Times New Roman" w:hAnsi="Times New Roman" w:cs="Times New Roman"/>
          <w:bCs/>
          <w:sz w:val="24"/>
          <w:szCs w:val="24"/>
        </w:rPr>
        <w:t xml:space="preserve">Elisabeth Rosenthal, </w:t>
      </w:r>
      <w:r w:rsidRPr="009A5D3B">
        <w:rPr>
          <w:rFonts w:ascii="Times New Roman" w:hAnsi="Times New Roman" w:cs="Times New Roman"/>
          <w:i/>
          <w:sz w:val="24"/>
          <w:szCs w:val="24"/>
        </w:rPr>
        <w:t>New York Times</w:t>
      </w:r>
      <w:r>
        <w:rPr>
          <w:rFonts w:ascii="Times New Roman" w:hAnsi="Times New Roman" w:cs="Times New Roman"/>
          <w:sz w:val="24"/>
          <w:szCs w:val="24"/>
        </w:rPr>
        <w:t xml:space="preserve">, </w:t>
      </w:r>
      <w:r>
        <w:rPr>
          <w:rFonts w:ascii="Times New Roman" w:hAnsi="Times New Roman" w:cs="Times New Roman"/>
          <w:sz w:val="24"/>
          <w:szCs w:val="24"/>
        </w:rPr>
        <w:t>April 12, 2010, p.___.</w:t>
      </w:r>
      <w:r>
        <w:rPr>
          <w:rFonts w:ascii="Times New Roman" w:hAnsi="Times New Roman" w:cs="Times New Roman"/>
          <w:sz w:val="24"/>
          <w:szCs w:val="24"/>
        </w:rPr>
        <w:t xml:space="preserve"> </w:t>
      </w:r>
      <w:r w:rsidRPr="00E617FA">
        <w:rPr>
          <w:rFonts w:ascii="Times New Roman" w:hAnsi="Times New Roman" w:cs="Times New Roman"/>
          <w:sz w:val="24"/>
          <w:szCs w:val="24"/>
        </w:rPr>
        <w:t xml:space="preserve"> </w:t>
      </w:r>
      <w:r w:rsidRPr="00CE639C">
        <w:rPr>
          <w:rFonts w:ascii="Times New Roman" w:hAnsi="Times New Roman" w:cs="Times New Roman"/>
          <w:i/>
          <w:sz w:val="24"/>
          <w:szCs w:val="24"/>
        </w:rPr>
        <w:t>See also</w:t>
      </w:r>
      <w:r>
        <w:rPr>
          <w:rFonts w:ascii="Times New Roman" w:hAnsi="Times New Roman" w:cs="Times New Roman"/>
          <w:sz w:val="24"/>
          <w:szCs w:val="24"/>
        </w:rPr>
        <w:t xml:space="preserve"> n.__</w:t>
      </w:r>
      <w:r w:rsidRPr="00E617FA">
        <w:rPr>
          <w:rFonts w:ascii="Times New Roman" w:hAnsi="Times New Roman" w:cs="Times New Roman"/>
          <w:i/>
          <w:sz w:val="24"/>
          <w:szCs w:val="24"/>
        </w:rPr>
        <w:t xml:space="preserve"> infra</w:t>
      </w:r>
      <w:r w:rsidRPr="00E617FA">
        <w:rPr>
          <w:rFonts w:ascii="Times New Roman" w:hAnsi="Times New Roman" w:cs="Times New Roman"/>
          <w:sz w:val="24"/>
          <w:szCs w:val="24"/>
        </w:rPr>
        <w:t xml:space="preserve"> </w:t>
      </w:r>
      <w:r>
        <w:rPr>
          <w:rFonts w:ascii="Times New Roman" w:hAnsi="Times New Roman" w:cs="Times New Roman"/>
          <w:sz w:val="24"/>
          <w:szCs w:val="24"/>
        </w:rPr>
        <w:t>(</w:t>
      </w:r>
      <w:r w:rsidRPr="00E617FA">
        <w:rPr>
          <w:rFonts w:ascii="Times New Roman" w:hAnsi="Times New Roman" w:cs="Times New Roman"/>
          <w:sz w:val="24"/>
          <w:szCs w:val="24"/>
        </w:rPr>
        <w:t>noting that Denmark relies on WTE to process 53% of its MSW)</w:t>
      </w:r>
      <w:r>
        <w:rPr>
          <w:rFonts w:ascii="Times New Roman" w:hAnsi="Times New Roman" w:cs="Times New Roman"/>
          <w:sz w:val="24"/>
          <w:szCs w:val="24"/>
        </w:rPr>
        <w:t>.</w:t>
      </w:r>
    </w:p>
  </w:footnote>
  <w:footnote w:id="4">
    <w:p w:rsidR="004B1DCC" w:rsidRPr="004B1DCC" w:rsidRDefault="008941F4" w:rsidP="00266619">
      <w:pPr>
        <w:pStyle w:val="FootnoteText"/>
        <w:tabs>
          <w:tab w:val="left" w:pos="360"/>
        </w:tabs>
        <w:ind w:left="360" w:hanging="360"/>
        <w:rPr>
          <w:rFonts w:ascii="Times New Roman" w:hAnsi="Times New Roman" w:cs="Times New Roman"/>
          <w:sz w:val="24"/>
          <w:szCs w:val="24"/>
        </w:rPr>
      </w:pPr>
      <w:r w:rsidRPr="004B1DCC">
        <w:rPr>
          <w:rStyle w:val="FootnoteReference"/>
          <w:rFonts w:ascii="Times New Roman" w:hAnsi="Times New Roman" w:cs="Times New Roman"/>
          <w:sz w:val="24"/>
          <w:szCs w:val="24"/>
        </w:rPr>
        <w:footnoteRef/>
      </w:r>
      <w:r>
        <w:rPr>
          <w:rFonts w:ascii="Times New Roman" w:hAnsi="Times New Roman" w:cs="Times New Roman"/>
          <w:sz w:val="24"/>
          <w:szCs w:val="24"/>
        </w:rPr>
        <w:tab/>
        <w:t xml:space="preserve">The ten pollutants are particulate matter, opacity, </w:t>
      </w:r>
      <w:r>
        <w:rPr>
          <w:rFonts w:ascii="Times New Roman" w:hAnsi="Times New Roman" w:cs="Times New Roman"/>
          <w:sz w:val="24"/>
          <w:szCs w:val="24"/>
        </w:rPr>
        <w:t>sulfur dioxide, hydrogen chloride, nitrogen oxides, carbon monoxide, lead, cadmium</w:t>
      </w:r>
      <w:r>
        <w:rPr>
          <w:rFonts w:ascii="Times New Roman" w:hAnsi="Times New Roman" w:cs="Times New Roman"/>
          <w:sz w:val="24"/>
          <w:szCs w:val="24"/>
        </w:rPr>
        <w:t>, mercury, and dioxins-furans.</w:t>
      </w:r>
    </w:p>
  </w:footnote>
  <w:footnote w:id="5">
    <w:p w:rsidR="00F50D0C" w:rsidRPr="009F4413" w:rsidRDefault="008941F4" w:rsidP="00BB1CEC">
      <w:pPr>
        <w:pStyle w:val="FootnoteText"/>
        <w:tabs>
          <w:tab w:val="left" w:pos="360"/>
        </w:tabs>
        <w:spacing w:after="120"/>
        <w:ind w:left="360" w:hanging="360"/>
        <w:jc w:val="both"/>
        <w:rPr>
          <w:rFonts w:ascii="Times New Roman" w:hAnsi="Times New Roman" w:cs="Times New Roman"/>
          <w:sz w:val="24"/>
          <w:szCs w:val="24"/>
        </w:rPr>
      </w:pPr>
      <w:r w:rsidRPr="009F4413">
        <w:rPr>
          <w:rStyle w:val="FootnoteReference"/>
          <w:rFonts w:ascii="Times New Roman" w:hAnsi="Times New Roman" w:cs="Times New Roman"/>
          <w:sz w:val="24"/>
          <w:szCs w:val="24"/>
        </w:rPr>
        <w:footnoteRef/>
      </w:r>
      <w:r>
        <w:rPr>
          <w:rFonts w:ascii="Times New Roman" w:hAnsi="Times New Roman" w:cs="Times New Roman"/>
          <w:sz w:val="24"/>
          <w:szCs w:val="24"/>
        </w:rPr>
        <w:tab/>
      </w:r>
      <w:r w:rsidRPr="009F4413">
        <w:rPr>
          <w:rFonts w:ascii="Times New Roman" w:hAnsi="Times New Roman" w:cs="Times New Roman"/>
          <w:bCs/>
          <w:sz w:val="24"/>
          <w:szCs w:val="24"/>
        </w:rPr>
        <w:t xml:space="preserve">The dioxin/furan emissions noted above are in grams per year </w:t>
      </w:r>
      <w:r>
        <w:rPr>
          <w:rFonts w:ascii="Times New Roman" w:hAnsi="Times New Roman" w:cs="Times New Roman"/>
          <w:bCs/>
          <w:sz w:val="24"/>
          <w:szCs w:val="24"/>
        </w:rPr>
        <w:t xml:space="preserve">of the </w:t>
      </w:r>
      <w:r w:rsidRPr="009F4413">
        <w:rPr>
          <w:rFonts w:ascii="Times New Roman" w:hAnsi="Times New Roman" w:cs="Times New Roman"/>
          <w:bCs/>
          <w:sz w:val="24"/>
          <w:szCs w:val="24"/>
        </w:rPr>
        <w:t>toxicity equivalent quantity (TEQ)</w:t>
      </w:r>
      <w:r>
        <w:rPr>
          <w:rFonts w:ascii="Times New Roman" w:hAnsi="Times New Roman" w:cs="Times New Roman"/>
          <w:bCs/>
          <w:sz w:val="24"/>
          <w:szCs w:val="24"/>
        </w:rPr>
        <w:t xml:space="preserve"> </w:t>
      </w:r>
      <w:r w:rsidRPr="009F4413">
        <w:rPr>
          <w:rFonts w:ascii="Times New Roman" w:hAnsi="Times New Roman" w:cs="Times New Roman"/>
          <w:bCs/>
          <w:sz w:val="24"/>
          <w:szCs w:val="24"/>
        </w:rPr>
        <w:t>using 1989 N</w:t>
      </w:r>
      <w:r>
        <w:rPr>
          <w:rFonts w:ascii="Times New Roman" w:hAnsi="Times New Roman" w:cs="Times New Roman"/>
          <w:bCs/>
          <w:sz w:val="24"/>
          <w:szCs w:val="24"/>
        </w:rPr>
        <w:t xml:space="preserve">orth Atlantic Treaty </w:t>
      </w:r>
      <w:r>
        <w:rPr>
          <w:rFonts w:ascii="Times New Roman" w:hAnsi="Times New Roman" w:cs="Times New Roman"/>
          <w:bCs/>
          <w:sz w:val="24"/>
          <w:szCs w:val="24"/>
        </w:rPr>
        <w:t>Organization (N</w:t>
      </w:r>
      <w:r w:rsidRPr="009F4413">
        <w:rPr>
          <w:rFonts w:ascii="Times New Roman" w:hAnsi="Times New Roman" w:cs="Times New Roman"/>
          <w:bCs/>
          <w:sz w:val="24"/>
          <w:szCs w:val="24"/>
        </w:rPr>
        <w:t>ATO</w:t>
      </w:r>
      <w:r>
        <w:rPr>
          <w:rFonts w:ascii="Times New Roman" w:hAnsi="Times New Roman" w:cs="Times New Roman"/>
          <w:bCs/>
          <w:sz w:val="24"/>
          <w:szCs w:val="24"/>
        </w:rPr>
        <w:t>)</w:t>
      </w:r>
      <w:r w:rsidRPr="009F4413">
        <w:rPr>
          <w:rFonts w:ascii="Times New Roman" w:hAnsi="Times New Roman" w:cs="Times New Roman"/>
          <w:bCs/>
          <w:sz w:val="24"/>
          <w:szCs w:val="24"/>
        </w:rPr>
        <w:t xml:space="preserve"> toxicity factors.</w:t>
      </w:r>
      <w:r>
        <w:rPr>
          <w:rFonts w:ascii="Times New Roman" w:hAnsi="Times New Roman" w:cs="Times New Roman"/>
          <w:bCs/>
          <w:sz w:val="24"/>
          <w:szCs w:val="24"/>
        </w:rPr>
        <w:t xml:space="preserve">  </w:t>
      </w:r>
      <w:r w:rsidRPr="00C41001">
        <w:rPr>
          <w:rFonts w:ascii="Times New Roman" w:hAnsi="Times New Roman" w:cs="Times New Roman"/>
          <w:bCs/>
          <w:i/>
          <w:sz w:val="24"/>
          <w:szCs w:val="24"/>
        </w:rPr>
        <w:t>See</w:t>
      </w:r>
      <w:r w:rsidRPr="00F50D0C">
        <w:t xml:space="preserve"> </w:t>
      </w:r>
      <w:hyperlink r:id="rId2" w:history="1">
        <w:r w:rsidRPr="00EE19BF">
          <w:rPr>
            <w:rStyle w:val="Hyperlink"/>
            <w:rFonts w:ascii="Times New Roman" w:hAnsi="Times New Roman" w:cs="Times New Roman"/>
            <w:bCs/>
            <w:sz w:val="24"/>
            <w:szCs w:val="24"/>
          </w:rPr>
          <w:t>https://nepis.epa.gov/Exe/ZyNET.exe/94X00EFE.TXT?ZyActionD=ZyDocument&amp;Client=EPA&amp;Index=1986+Thru+1990&amp;Docs=&amp;Query=&amp;Time=&amp;E</w:t>
        </w:r>
        <w:r w:rsidRPr="00EE19BF">
          <w:rPr>
            <w:rStyle w:val="Hyperlink"/>
            <w:rFonts w:ascii="Times New Roman" w:hAnsi="Times New Roman" w:cs="Times New Roman"/>
            <w:bCs/>
            <w:sz w:val="24"/>
            <w:szCs w:val="24"/>
          </w:rPr>
          <w:t>ndTime=&amp;SearchMethod=1&amp;TocRestrict=n&amp;Toc=&amp;TocEntry=&amp;QField=&amp;QFieldYear=&amp;QFieldMonth=&amp;QFieldDay=&amp;IntQFieldOp=0&amp;ExtQFieldOp=0&amp;XmlQuery=&amp;File=D%3A%5Czyfiles%5CIndex%20Data%5C86thru90%5CTxt%5C00000035%5C94X00EFE.txt&amp;User=ANONYMOUS&amp;Password=anonymous&amp;SortMethod</w:t>
        </w:r>
        <w:r w:rsidRPr="00EE19BF">
          <w:rPr>
            <w:rStyle w:val="Hyperlink"/>
            <w:rFonts w:ascii="Times New Roman" w:hAnsi="Times New Roman" w:cs="Times New Roman"/>
            <w:bCs/>
            <w:sz w:val="24"/>
            <w:szCs w:val="24"/>
          </w:rPr>
          <w:t>=h%7C-&amp;MaximumDocuments=1&amp;FuzzyDegree=0&amp;ImageQuality=r75g8/r75g8/x150y150g16/i425&amp;Display=hpfr&amp;DefSeekPage=x&amp;SearchBack=ZyActionL&amp;Back=ZyActionS&amp;BackDesc=Results%20page&amp;MaximumPages=1&amp;ZyEntry=1&amp;SeekPage=x&amp;ZyPURL</w:t>
        </w:r>
      </w:hyperlink>
      <w:r>
        <w:rPr>
          <w:rFonts w:ascii="Times New Roman" w:hAnsi="Times New Roman" w:cs="Times New Roman"/>
          <w:bCs/>
          <w:sz w:val="24"/>
          <w:szCs w:val="24"/>
        </w:rPr>
        <w:t>.</w:t>
      </w:r>
    </w:p>
  </w:footnote>
  <w:footnote w:id="6">
    <w:p w:rsidR="00BB1CEC" w:rsidRPr="00BB1CEC" w:rsidRDefault="008941F4" w:rsidP="00041550">
      <w:pPr>
        <w:pStyle w:val="FootnoteText"/>
        <w:tabs>
          <w:tab w:val="left" w:pos="360"/>
        </w:tabs>
        <w:spacing w:after="120"/>
        <w:ind w:left="360" w:hanging="360"/>
        <w:jc w:val="both"/>
        <w:rPr>
          <w:rFonts w:ascii="Times New Roman" w:hAnsi="Times New Roman" w:cs="Times New Roman"/>
          <w:sz w:val="24"/>
          <w:szCs w:val="24"/>
        </w:rPr>
      </w:pPr>
      <w:r w:rsidRPr="00BB1CEC">
        <w:rPr>
          <w:rStyle w:val="FootnoteReference"/>
          <w:rFonts w:ascii="Times New Roman" w:hAnsi="Times New Roman" w:cs="Times New Roman"/>
          <w:sz w:val="24"/>
          <w:szCs w:val="24"/>
        </w:rPr>
        <w:footnoteRef/>
      </w:r>
      <w:r>
        <w:rPr>
          <w:rFonts w:ascii="Times New Roman" w:hAnsi="Times New Roman" w:cs="Times New Roman"/>
          <w:sz w:val="24"/>
          <w:szCs w:val="24"/>
        </w:rPr>
        <w:tab/>
        <w:t>An</w:t>
      </w:r>
      <w:r>
        <w:rPr>
          <w:rFonts w:ascii="Times New Roman" w:hAnsi="Times New Roman" w:cs="Times New Roman"/>
          <w:sz w:val="24"/>
          <w:szCs w:val="24"/>
        </w:rPr>
        <w:t>other</w:t>
      </w:r>
      <w:r>
        <w:rPr>
          <w:rFonts w:ascii="Times New Roman" w:hAnsi="Times New Roman" w:cs="Times New Roman"/>
          <w:sz w:val="24"/>
          <w:szCs w:val="24"/>
        </w:rPr>
        <w:t xml:space="preserve"> analysis published </w:t>
      </w:r>
      <w:r>
        <w:rPr>
          <w:rFonts w:ascii="Times New Roman" w:hAnsi="Times New Roman" w:cs="Times New Roman"/>
          <w:sz w:val="24"/>
          <w:szCs w:val="24"/>
        </w:rPr>
        <w:t xml:space="preserve">at about the same time as the EPA analysis referred to above </w:t>
      </w:r>
      <w:r>
        <w:rPr>
          <w:rFonts w:ascii="Times New Roman" w:hAnsi="Times New Roman" w:cs="Times New Roman"/>
          <w:sz w:val="24"/>
          <w:szCs w:val="24"/>
        </w:rPr>
        <w:t xml:space="preserve">indicates that </w:t>
      </w:r>
      <w:r>
        <w:rPr>
          <w:rFonts w:ascii="Times New Roman" w:hAnsi="Times New Roman" w:cs="Times New Roman"/>
          <w:sz w:val="24"/>
          <w:szCs w:val="24"/>
        </w:rPr>
        <w:t xml:space="preserve">following implementation of MACT, </w:t>
      </w:r>
      <w:r>
        <w:rPr>
          <w:rFonts w:ascii="Times New Roman" w:hAnsi="Times New Roman" w:cs="Times New Roman"/>
          <w:sz w:val="24"/>
          <w:szCs w:val="24"/>
        </w:rPr>
        <w:t>WTE dioxin emissions in the U.S.</w:t>
      </w:r>
      <w:r>
        <w:rPr>
          <w:rFonts w:ascii="Times New Roman" w:hAnsi="Times New Roman" w:cs="Times New Roman"/>
          <w:sz w:val="24"/>
          <w:szCs w:val="24"/>
        </w:rPr>
        <w:t xml:space="preserve"> decreased </w:t>
      </w:r>
      <w:r w:rsidRPr="00E10F45">
        <w:rPr>
          <w:rFonts w:ascii="Times New Roman" w:hAnsi="Times New Roman" w:cs="Times New Roman"/>
          <w:bCs/>
          <w:sz w:val="24"/>
          <w:szCs w:val="24"/>
        </w:rPr>
        <w:t xml:space="preserve">by a factor of 1,000 to less than 12 grams.  </w:t>
      </w:r>
      <w:r w:rsidRPr="00E10F45">
        <w:rPr>
          <w:rFonts w:ascii="Times New Roman" w:hAnsi="Times New Roman" w:cs="Times New Roman"/>
          <w:bCs/>
          <w:i/>
          <w:sz w:val="24"/>
          <w:szCs w:val="24"/>
        </w:rPr>
        <w:t>Waste-to-energy: A Review of the Statu</w:t>
      </w:r>
      <w:r w:rsidRPr="00E10F45">
        <w:rPr>
          <w:rFonts w:ascii="Times New Roman" w:hAnsi="Times New Roman" w:cs="Times New Roman"/>
          <w:bCs/>
          <w:i/>
          <w:sz w:val="24"/>
          <w:szCs w:val="24"/>
        </w:rPr>
        <w:t>s and Benefits in the USA</w:t>
      </w:r>
      <w:r w:rsidRPr="00E10F45">
        <w:rPr>
          <w:rFonts w:ascii="Times New Roman" w:hAnsi="Times New Roman" w:cs="Times New Roman"/>
          <w:bCs/>
          <w:sz w:val="24"/>
          <w:szCs w:val="24"/>
        </w:rPr>
        <w:t xml:space="preserve"> [</w:t>
      </w:r>
      <w:r w:rsidRPr="00E10F45">
        <w:rPr>
          <w:rFonts w:ascii="Times New Roman" w:hAnsi="Times New Roman" w:cs="Times New Roman"/>
          <w:bCs/>
          <w:sz w:val="24"/>
          <w:szCs w:val="24"/>
          <w:highlight w:val="yellow"/>
        </w:rPr>
        <w:t>insert URL</w:t>
      </w:r>
      <w:r w:rsidRPr="00E10F45">
        <w:rPr>
          <w:rFonts w:ascii="Times New Roman" w:hAnsi="Times New Roman" w:cs="Times New Roman"/>
          <w:bCs/>
          <w:sz w:val="24"/>
          <w:szCs w:val="24"/>
        </w:rPr>
        <w:t>],</w:t>
      </w:r>
      <w:r>
        <w:rPr>
          <w:rFonts w:ascii="Times New Roman" w:hAnsi="Times New Roman" w:cs="Times New Roman"/>
          <w:bCs/>
          <w:sz w:val="24"/>
          <w:szCs w:val="24"/>
        </w:rPr>
        <w:t xml:space="preserve"> p. 1722</w:t>
      </w:r>
      <w:r>
        <w:rPr>
          <w:rFonts w:ascii="Times New Roman" w:hAnsi="Times New Roman" w:cs="Times New Roman"/>
          <w:bCs/>
          <w:sz w:val="24"/>
          <w:szCs w:val="24"/>
        </w:rPr>
        <w:t xml:space="preserve">; </w:t>
      </w:r>
      <w:r w:rsidRPr="00070823">
        <w:rPr>
          <w:rFonts w:ascii="Times New Roman" w:hAnsi="Times New Roman" w:cs="Times New Roman"/>
          <w:bCs/>
          <w:i/>
          <w:sz w:val="24"/>
          <w:szCs w:val="24"/>
        </w:rPr>
        <w:t xml:space="preserve">see also </w:t>
      </w:r>
      <w:r w:rsidRPr="007F290B">
        <w:rPr>
          <w:rFonts w:ascii="Times New Roman" w:hAnsi="Times New Roman" w:cs="Times New Roman"/>
          <w:bCs/>
          <w:i/>
          <w:sz w:val="24"/>
          <w:szCs w:val="24"/>
        </w:rPr>
        <w:t xml:space="preserve">Europe Finds Clean Energy in Trash, </w:t>
      </w:r>
      <w:r>
        <w:rPr>
          <w:rFonts w:ascii="Times New Roman" w:hAnsi="Times New Roman" w:cs="Times New Roman"/>
          <w:bCs/>
          <w:i/>
          <w:sz w:val="24"/>
          <w:szCs w:val="24"/>
        </w:rPr>
        <w:t>infra</w:t>
      </w:r>
      <w:r>
        <w:rPr>
          <w:rFonts w:ascii="Times New Roman" w:hAnsi="Times New Roman" w:cs="Times New Roman"/>
          <w:bCs/>
          <w:sz w:val="24"/>
          <w:szCs w:val="24"/>
        </w:rPr>
        <w:t xml:space="preserve">, </w:t>
      </w:r>
      <w:r w:rsidRPr="007F290B">
        <w:rPr>
          <w:rFonts w:ascii="Times New Roman" w:hAnsi="Times New Roman" w:cs="Times New Roman"/>
          <w:bCs/>
          <w:i/>
          <w:sz w:val="24"/>
          <w:szCs w:val="24"/>
        </w:rPr>
        <w:t xml:space="preserve">The </w:t>
      </w:r>
      <w:r w:rsidRPr="007F290B">
        <w:rPr>
          <w:rFonts w:ascii="Times New Roman" w:hAnsi="Times New Roman" w:cs="Times New Roman"/>
          <w:i/>
          <w:sz w:val="24"/>
          <w:szCs w:val="24"/>
        </w:rPr>
        <w:t>New York Times</w:t>
      </w:r>
      <w:r w:rsidRPr="007F290B">
        <w:rPr>
          <w:rFonts w:ascii="Times New Roman" w:hAnsi="Times New Roman" w:cs="Times New Roman"/>
          <w:sz w:val="24"/>
          <w:szCs w:val="24"/>
        </w:rPr>
        <w:t xml:space="preserve">, April 12, 2010, </w:t>
      </w:r>
      <w:r>
        <w:rPr>
          <w:rFonts w:ascii="Times New Roman" w:hAnsi="Times New Roman" w:cs="Times New Roman"/>
          <w:bCs/>
          <w:sz w:val="24"/>
          <w:szCs w:val="24"/>
        </w:rPr>
        <w:t xml:space="preserve">p. </w:t>
      </w:r>
      <w:r w:rsidRPr="001B0177">
        <w:rPr>
          <w:rFonts w:ascii="Times New Roman" w:hAnsi="Times New Roman" w:cs="Times New Roman"/>
          <w:bCs/>
          <w:sz w:val="24"/>
          <w:szCs w:val="24"/>
          <w:highlight w:val="yellow"/>
        </w:rPr>
        <w:t>__</w:t>
      </w:r>
      <w:r>
        <w:rPr>
          <w:rFonts w:ascii="Times New Roman" w:hAnsi="Times New Roman" w:cs="Times New Roman"/>
          <w:bCs/>
          <w:sz w:val="24"/>
          <w:szCs w:val="24"/>
        </w:rPr>
        <w:t xml:space="preserve"> (WTE facilities “run so cleanly that many times more dioxin is now released from home fireplaces and backyard barbecues </w:t>
      </w:r>
      <w:r>
        <w:rPr>
          <w:rFonts w:ascii="Times New Roman" w:hAnsi="Times New Roman" w:cs="Times New Roman"/>
          <w:bCs/>
          <w:sz w:val="24"/>
          <w:szCs w:val="24"/>
        </w:rPr>
        <w:t>than from incinerators</w:t>
      </w:r>
      <w:r>
        <w:rPr>
          <w:rFonts w:ascii="Times New Roman" w:hAnsi="Times New Roman" w:cs="Times New Roman"/>
          <w:bCs/>
          <w:sz w:val="24"/>
          <w:szCs w:val="24"/>
        </w:rPr>
        <w:t>”</w:t>
      </w:r>
      <w:r>
        <w:rPr>
          <w:rFonts w:ascii="Times New Roman" w:hAnsi="Times New Roman" w:cs="Times New Roman"/>
          <w:bCs/>
          <w:sz w:val="24"/>
          <w:szCs w:val="24"/>
        </w:rPr>
        <w:t>).</w:t>
      </w:r>
    </w:p>
  </w:footnote>
  <w:footnote w:id="7">
    <w:p w:rsidR="00931BB4" w:rsidRPr="00931BB4" w:rsidRDefault="008941F4" w:rsidP="00E05EA5">
      <w:pPr>
        <w:pStyle w:val="FootnoteText"/>
        <w:tabs>
          <w:tab w:val="left" w:pos="360"/>
        </w:tabs>
        <w:ind w:left="360" w:hanging="360"/>
        <w:jc w:val="both"/>
        <w:rPr>
          <w:rFonts w:ascii="Times New Roman" w:hAnsi="Times New Roman" w:cs="Times New Roman"/>
          <w:sz w:val="24"/>
          <w:szCs w:val="24"/>
        </w:rPr>
      </w:pPr>
      <w:r w:rsidRPr="00931BB4">
        <w:rPr>
          <w:rStyle w:val="FootnoteReference"/>
          <w:rFonts w:ascii="Times New Roman" w:hAnsi="Times New Roman" w:cs="Times New Roman"/>
          <w:sz w:val="24"/>
          <w:szCs w:val="24"/>
        </w:rPr>
        <w:footnoteRef/>
      </w:r>
      <w:r>
        <w:rPr>
          <w:rFonts w:ascii="Times New Roman" w:hAnsi="Times New Roman" w:cs="Times New Roman"/>
          <w:sz w:val="24"/>
          <w:szCs w:val="24"/>
        </w:rPr>
        <w:tab/>
        <w:t>“Criteria pollutants” are</w:t>
      </w:r>
      <w:r w:rsidRPr="00C700E9">
        <w:rPr>
          <w:rFonts w:ascii="Times New Roman" w:hAnsi="Times New Roman" w:cs="Times New Roman"/>
          <w:sz w:val="24"/>
          <w:szCs w:val="24"/>
        </w:rPr>
        <w:t xml:space="preserve"> six common air pollutants</w:t>
      </w:r>
      <w:r>
        <w:rPr>
          <w:rFonts w:ascii="Times New Roman" w:hAnsi="Times New Roman" w:cs="Times New Roman"/>
          <w:sz w:val="24"/>
          <w:szCs w:val="24"/>
        </w:rPr>
        <w:t xml:space="preserve">  ̶ </w:t>
      </w:r>
      <w:r>
        <w:rPr>
          <w:rFonts w:ascii="Times New Roman" w:hAnsi="Times New Roman" w:cs="Times New Roman"/>
          <w:sz w:val="24"/>
          <w:szCs w:val="24"/>
        </w:rPr>
        <w:t xml:space="preserve"> </w:t>
      </w:r>
      <w:r>
        <w:rPr>
          <w:rFonts w:ascii="Times New Roman" w:hAnsi="Times New Roman" w:cs="Times New Roman"/>
          <w:sz w:val="24"/>
          <w:szCs w:val="24"/>
        </w:rPr>
        <w:t xml:space="preserve">carbon monoxide, particulate matter, </w:t>
      </w:r>
      <w:r>
        <w:rPr>
          <w:rFonts w:ascii="Times New Roman" w:hAnsi="Times New Roman" w:cs="Times New Roman"/>
          <w:sz w:val="24"/>
          <w:szCs w:val="24"/>
        </w:rPr>
        <w:t>sulfur dioxide</w:t>
      </w:r>
      <w:r>
        <w:rPr>
          <w:rFonts w:ascii="Times New Roman" w:hAnsi="Times New Roman" w:cs="Times New Roman"/>
          <w:sz w:val="24"/>
          <w:szCs w:val="24"/>
        </w:rPr>
        <w:t xml:space="preserve">, lead, </w:t>
      </w:r>
      <w:r>
        <w:rPr>
          <w:rFonts w:ascii="Times New Roman" w:hAnsi="Times New Roman" w:cs="Times New Roman"/>
          <w:sz w:val="24"/>
          <w:szCs w:val="24"/>
        </w:rPr>
        <w:t xml:space="preserve">ground level </w:t>
      </w:r>
      <w:r>
        <w:rPr>
          <w:rFonts w:ascii="Times New Roman" w:hAnsi="Times New Roman" w:cs="Times New Roman"/>
          <w:sz w:val="24"/>
          <w:szCs w:val="24"/>
        </w:rPr>
        <w:t>ozone</w:t>
      </w:r>
      <w:r>
        <w:rPr>
          <w:rFonts w:ascii="Times New Roman" w:hAnsi="Times New Roman" w:cs="Times New Roman"/>
          <w:sz w:val="24"/>
          <w:szCs w:val="24"/>
        </w:rPr>
        <w:t xml:space="preserve"> and</w:t>
      </w:r>
      <w:r>
        <w:rPr>
          <w:rFonts w:ascii="Times New Roman" w:hAnsi="Times New Roman" w:cs="Times New Roman"/>
          <w:sz w:val="24"/>
          <w:szCs w:val="24"/>
        </w:rPr>
        <w:t xml:space="preserve"> </w:t>
      </w:r>
      <w:r>
        <w:rPr>
          <w:rFonts w:ascii="Times New Roman" w:hAnsi="Times New Roman" w:cs="Times New Roman"/>
          <w:sz w:val="24"/>
          <w:szCs w:val="24"/>
        </w:rPr>
        <w:t>nitrogen oxide</w:t>
      </w:r>
      <w:r>
        <w:rPr>
          <w:rFonts w:ascii="Times New Roman" w:hAnsi="Times New Roman" w:cs="Times New Roman"/>
          <w:sz w:val="24"/>
          <w:szCs w:val="24"/>
        </w:rPr>
        <w:t>s</w:t>
      </w:r>
      <w:r>
        <w:rPr>
          <w:rFonts w:ascii="Times New Roman" w:hAnsi="Times New Roman" w:cs="Times New Roman"/>
          <w:sz w:val="24"/>
          <w:szCs w:val="24"/>
        </w:rPr>
        <w:t xml:space="preserve">  ̶ </w:t>
      </w:r>
      <w:r>
        <w:rPr>
          <w:rFonts w:ascii="Times New Roman" w:hAnsi="Times New Roman" w:cs="Times New Roman"/>
          <w:sz w:val="24"/>
          <w:szCs w:val="24"/>
        </w:rPr>
        <w:t xml:space="preserve"> </w:t>
      </w:r>
      <w:r>
        <w:rPr>
          <w:rFonts w:ascii="Times New Roman" w:hAnsi="Times New Roman" w:cs="Times New Roman"/>
          <w:sz w:val="24"/>
          <w:szCs w:val="24"/>
        </w:rPr>
        <w:t>for which t</w:t>
      </w:r>
      <w:r w:rsidRPr="00EE4D43">
        <w:rPr>
          <w:rFonts w:ascii="Times New Roman" w:hAnsi="Times New Roman" w:cs="Times New Roman"/>
          <w:sz w:val="24"/>
          <w:szCs w:val="24"/>
        </w:rPr>
        <w:t xml:space="preserve">he Clean Air Act requires EPA to </w:t>
      </w:r>
      <w:r>
        <w:rPr>
          <w:rFonts w:ascii="Times New Roman" w:hAnsi="Times New Roman" w:cs="Times New Roman"/>
          <w:sz w:val="24"/>
          <w:szCs w:val="24"/>
        </w:rPr>
        <w:t xml:space="preserve">establish </w:t>
      </w:r>
      <w:r w:rsidRPr="00EE4D43">
        <w:rPr>
          <w:rFonts w:ascii="Times New Roman" w:hAnsi="Times New Roman" w:cs="Times New Roman"/>
          <w:sz w:val="24"/>
          <w:szCs w:val="24"/>
        </w:rPr>
        <w:t>National Ambient Air Quality Standards (NAAQS)</w:t>
      </w:r>
      <w:r>
        <w:rPr>
          <w:rFonts w:ascii="Times New Roman" w:hAnsi="Times New Roman" w:cs="Times New Roman"/>
          <w:sz w:val="24"/>
          <w:szCs w:val="24"/>
        </w:rPr>
        <w:t>.</w:t>
      </w:r>
      <w:r>
        <w:rPr>
          <w:rFonts w:ascii="Times New Roman" w:hAnsi="Times New Roman" w:cs="Times New Roman"/>
          <w:sz w:val="24"/>
          <w:szCs w:val="24"/>
        </w:rPr>
        <w:t xml:space="preserve">  Five of the six criteria pollutants are included in the ten pollutants regulated under EPA’s MACT standards for WTE facilities.  The only exception is ozone, which is regulated for WTE facilitie</w:t>
      </w:r>
      <w:r>
        <w:rPr>
          <w:rFonts w:ascii="Times New Roman" w:hAnsi="Times New Roman" w:cs="Times New Roman"/>
          <w:sz w:val="24"/>
          <w:szCs w:val="24"/>
        </w:rPr>
        <w:t>s through emission controls on other pollutants, including n</w:t>
      </w:r>
      <w:r>
        <w:rPr>
          <w:rFonts w:ascii="Times New Roman" w:hAnsi="Times New Roman" w:cs="Times New Roman"/>
          <w:sz w:val="24"/>
          <w:szCs w:val="24"/>
        </w:rPr>
        <w:t>itrogen oxides.</w:t>
      </w:r>
    </w:p>
  </w:footnote>
  <w:footnote w:id="8">
    <w:p w:rsidR="00C523C0" w:rsidRPr="00C523C0" w:rsidRDefault="008941F4" w:rsidP="00300F04">
      <w:pPr>
        <w:pStyle w:val="FootnoteText"/>
        <w:tabs>
          <w:tab w:val="left" w:pos="360"/>
        </w:tabs>
        <w:spacing w:after="120"/>
        <w:ind w:left="360" w:hanging="360"/>
        <w:jc w:val="both"/>
        <w:rPr>
          <w:rFonts w:ascii="Times New Roman" w:hAnsi="Times New Roman" w:cs="Times New Roman"/>
          <w:sz w:val="24"/>
          <w:szCs w:val="24"/>
        </w:rPr>
      </w:pPr>
      <w:r w:rsidRPr="00C523C0">
        <w:rPr>
          <w:rStyle w:val="FootnoteReference"/>
          <w:rFonts w:ascii="Times New Roman" w:hAnsi="Times New Roman" w:cs="Times New Roman"/>
          <w:sz w:val="24"/>
          <w:szCs w:val="24"/>
        </w:rPr>
        <w:footnoteRef/>
      </w:r>
      <w:r>
        <w:rPr>
          <w:rFonts w:ascii="Times New Roman" w:hAnsi="Times New Roman" w:cs="Times New Roman"/>
          <w:sz w:val="24"/>
          <w:szCs w:val="24"/>
        </w:rPr>
        <w:tab/>
        <w:t>The combustion process at all modern WTE facilities produces steam</w:t>
      </w:r>
      <w:r>
        <w:rPr>
          <w:rFonts w:ascii="Times New Roman" w:hAnsi="Times New Roman" w:cs="Times New Roman"/>
          <w:sz w:val="24"/>
          <w:szCs w:val="24"/>
        </w:rPr>
        <w:t xml:space="preserve">.  Most WTE facilities direct their steam to a turbine generator for production of electricity; at other facilities all steam production is routed to direct use </w:t>
      </w:r>
      <w:r>
        <w:rPr>
          <w:rFonts w:ascii="Times New Roman" w:hAnsi="Times New Roman" w:cs="Times New Roman"/>
          <w:sz w:val="24"/>
          <w:szCs w:val="24"/>
        </w:rPr>
        <w:t>(e.g., spac</w:t>
      </w:r>
      <w:r>
        <w:rPr>
          <w:rFonts w:ascii="Times New Roman" w:hAnsi="Times New Roman" w:cs="Times New Roman"/>
          <w:sz w:val="24"/>
          <w:szCs w:val="24"/>
        </w:rPr>
        <w:t xml:space="preserve">e heating or use in a manufacturing process) rather than for electric power generation; and at still other WTE facilities steam is used </w:t>
      </w:r>
      <w:r>
        <w:rPr>
          <w:rFonts w:ascii="Times New Roman" w:hAnsi="Times New Roman" w:cs="Times New Roman"/>
          <w:sz w:val="24"/>
          <w:szCs w:val="24"/>
        </w:rPr>
        <w:t xml:space="preserve">for electric power generation as well as for other manufacturing </w:t>
      </w:r>
      <w:r>
        <w:rPr>
          <w:rFonts w:ascii="Times New Roman" w:hAnsi="Times New Roman" w:cs="Times New Roman"/>
          <w:sz w:val="24"/>
          <w:szCs w:val="24"/>
        </w:rPr>
        <w:t xml:space="preserve">or industrial </w:t>
      </w:r>
      <w:r>
        <w:rPr>
          <w:rFonts w:ascii="Times New Roman" w:hAnsi="Times New Roman" w:cs="Times New Roman"/>
          <w:sz w:val="24"/>
          <w:szCs w:val="24"/>
        </w:rPr>
        <w:t>needs.</w:t>
      </w:r>
    </w:p>
  </w:footnote>
  <w:footnote w:id="9">
    <w:p w:rsidR="006277E0" w:rsidRPr="007B7E13" w:rsidRDefault="008941F4" w:rsidP="007B7E13">
      <w:pPr>
        <w:pStyle w:val="FootnoteText"/>
        <w:tabs>
          <w:tab w:val="left" w:pos="360"/>
        </w:tabs>
        <w:spacing w:after="120"/>
        <w:ind w:left="360" w:hanging="360"/>
        <w:jc w:val="both"/>
        <w:rPr>
          <w:rFonts w:ascii="Times New Roman" w:hAnsi="Times New Roman" w:cs="Times New Roman"/>
          <w:sz w:val="24"/>
          <w:szCs w:val="24"/>
        </w:rPr>
      </w:pPr>
      <w:r w:rsidRPr="00B54949">
        <w:rPr>
          <w:rStyle w:val="FootnoteReference"/>
          <w:rFonts w:ascii="Times New Roman" w:hAnsi="Times New Roman" w:cs="Times New Roman"/>
          <w:sz w:val="24"/>
          <w:szCs w:val="24"/>
        </w:rPr>
        <w:footnoteRef/>
      </w:r>
      <w:r>
        <w:rPr>
          <w:rFonts w:ascii="Times New Roman" w:hAnsi="Times New Roman" w:cs="Times New Roman"/>
          <w:sz w:val="22"/>
          <w:szCs w:val="22"/>
        </w:rPr>
        <w:tab/>
      </w:r>
      <w:r w:rsidRPr="007B7E13">
        <w:rPr>
          <w:rFonts w:ascii="Times New Roman" w:hAnsi="Times New Roman" w:cs="Times New Roman"/>
          <w:i/>
          <w:sz w:val="24"/>
          <w:szCs w:val="24"/>
        </w:rPr>
        <w:t>See</w:t>
      </w:r>
      <w:r w:rsidRPr="007B7E13">
        <w:rPr>
          <w:rFonts w:ascii="Times New Roman" w:hAnsi="Times New Roman" w:cs="Times New Roman"/>
          <w:sz w:val="24"/>
          <w:szCs w:val="24"/>
        </w:rPr>
        <w:t xml:space="preserve"> </w:t>
      </w:r>
      <w:hyperlink r:id="rId3" w:history="1">
        <w:r w:rsidRPr="007B7E13">
          <w:rPr>
            <w:rStyle w:val="Hyperlink"/>
            <w:rFonts w:ascii="Times New Roman" w:hAnsi="Times New Roman" w:cs="Times New Roman"/>
            <w:sz w:val="24"/>
            <w:szCs w:val="24"/>
          </w:rPr>
          <w:t>https://archive.epa.gov/epawaste/nonhaz/municipal/web/html/airem.html</w:t>
        </w:r>
      </w:hyperlink>
      <w:r w:rsidRPr="007B7E13">
        <w:rPr>
          <w:rFonts w:ascii="Times New Roman" w:hAnsi="Times New Roman" w:cs="Times New Roman"/>
          <w:sz w:val="24"/>
          <w:szCs w:val="24"/>
        </w:rPr>
        <w:t xml:space="preserve"> (scroll to “Greenhouse Gases”) (the information provided at this URL had bipartisan recognition in p</w:t>
      </w:r>
      <w:r w:rsidRPr="007B7E13">
        <w:rPr>
          <w:rFonts w:ascii="Times New Roman" w:hAnsi="Times New Roman" w:cs="Times New Roman"/>
          <w:sz w:val="24"/>
          <w:szCs w:val="24"/>
        </w:rPr>
        <w:t>revious administrations but has been archived by the current administration).  T</w:t>
      </w:r>
      <w:r w:rsidRPr="007B7E13">
        <w:rPr>
          <w:rFonts w:ascii="Times New Roman" w:hAnsi="Times New Roman" w:cs="Times New Roman"/>
          <w:bCs/>
          <w:sz w:val="24"/>
          <w:szCs w:val="24"/>
        </w:rPr>
        <w:t>he cited URL refers to a 1-ton-avoided metric, which is based on a now-superseded global warming potential (GWP) for methane of 21 times carbon dioxide on a 100-year timescale.</w:t>
      </w:r>
      <w:r w:rsidRPr="007B7E13">
        <w:rPr>
          <w:rFonts w:ascii="Times New Roman" w:hAnsi="Times New Roman" w:cs="Times New Roman"/>
          <w:bCs/>
          <w:sz w:val="24"/>
          <w:szCs w:val="24"/>
        </w:rPr>
        <w:t xml:space="preserve">  Assessment Report 5 (2014) of the Intergovernmental Panel on Climate Change (IPCC), </w:t>
      </w:r>
      <w:hyperlink r:id="rId4" w:history="1">
        <w:r w:rsidRPr="007B7E13">
          <w:rPr>
            <w:rStyle w:val="Hyperlink"/>
            <w:rFonts w:ascii="Times New Roman" w:hAnsi="Times New Roman" w:cs="Times New Roman"/>
            <w:bCs/>
            <w:sz w:val="24"/>
            <w:szCs w:val="24"/>
          </w:rPr>
          <w:t>https://www.ipcc.ch/report/ar5/syr/</w:t>
        </w:r>
      </w:hyperlink>
      <w:r w:rsidRPr="007B7E13">
        <w:rPr>
          <w:rFonts w:ascii="Times New Roman" w:hAnsi="Times New Roman" w:cs="Times New Roman"/>
          <w:bCs/>
          <w:sz w:val="24"/>
          <w:szCs w:val="24"/>
        </w:rPr>
        <w:t>, increases methane’s GWP to 34 times CO</w:t>
      </w:r>
      <w:r w:rsidRPr="007B7E13">
        <w:rPr>
          <w:rFonts w:ascii="Times New Roman" w:hAnsi="Times New Roman" w:cs="Times New Roman"/>
          <w:bCs/>
          <w:sz w:val="24"/>
          <w:szCs w:val="24"/>
          <w:vertAlign w:val="subscript"/>
        </w:rPr>
        <w:t>2</w:t>
      </w:r>
      <w:r w:rsidRPr="007B7E13">
        <w:rPr>
          <w:rFonts w:ascii="Times New Roman" w:hAnsi="Times New Roman" w:cs="Times New Roman"/>
          <w:bCs/>
          <w:sz w:val="24"/>
          <w:szCs w:val="24"/>
        </w:rPr>
        <w:t xml:space="preserve"> on a 100-year timescale and 86 times CO</w:t>
      </w:r>
      <w:r w:rsidRPr="007B7E13">
        <w:rPr>
          <w:rFonts w:ascii="Times New Roman" w:hAnsi="Times New Roman" w:cs="Times New Roman"/>
          <w:bCs/>
          <w:sz w:val="24"/>
          <w:szCs w:val="24"/>
          <w:vertAlign w:val="subscript"/>
        </w:rPr>
        <w:t>2</w:t>
      </w:r>
      <w:r w:rsidRPr="007B7E13">
        <w:rPr>
          <w:rFonts w:ascii="Times New Roman" w:hAnsi="Times New Roman" w:cs="Times New Roman"/>
          <w:bCs/>
          <w:sz w:val="24"/>
          <w:szCs w:val="24"/>
        </w:rPr>
        <w:t xml:space="preserve"> </w:t>
      </w:r>
      <w:r w:rsidRPr="007B7E13">
        <w:rPr>
          <w:rFonts w:ascii="Times New Roman" w:hAnsi="Times New Roman" w:cs="Times New Roman"/>
          <w:bCs/>
          <w:sz w:val="24"/>
          <w:szCs w:val="24"/>
        </w:rPr>
        <w:t>on a 20-year timescale.  The corresponding change in the tons-avoided metric (i.e., tons of CO</w:t>
      </w:r>
      <w:r w:rsidRPr="007B7E13">
        <w:rPr>
          <w:rFonts w:ascii="Times New Roman" w:hAnsi="Times New Roman" w:cs="Times New Roman"/>
          <w:bCs/>
          <w:sz w:val="24"/>
          <w:szCs w:val="24"/>
          <w:vertAlign w:val="subscript"/>
        </w:rPr>
        <w:t>2</w:t>
      </w:r>
      <w:r w:rsidRPr="007B7E13">
        <w:rPr>
          <w:rFonts w:ascii="Times New Roman" w:hAnsi="Times New Roman" w:cs="Times New Roman"/>
          <w:bCs/>
          <w:sz w:val="24"/>
          <w:szCs w:val="24"/>
        </w:rPr>
        <w:t>-equivalent emissions avoided) is 1.62 tons avoided based on a 100-year timescale and 4.1 tons avoided using a 20-year timescale.  Given methane’s status as a po</w:t>
      </w:r>
      <w:r w:rsidRPr="007B7E13">
        <w:rPr>
          <w:rFonts w:ascii="Times New Roman" w:hAnsi="Times New Roman" w:cs="Times New Roman"/>
          <w:bCs/>
          <w:sz w:val="24"/>
          <w:szCs w:val="24"/>
        </w:rPr>
        <w:t xml:space="preserve">tent short-lived climate pollutant, use of the 20-year timescale GWP of 86 – and the corresponding 4.1 tons-avoided metric – is more accurate.  </w:t>
      </w:r>
      <w:r w:rsidRPr="007B7E13">
        <w:rPr>
          <w:rFonts w:ascii="Times New Roman" w:hAnsi="Times New Roman" w:cs="Times New Roman"/>
          <w:bCs/>
          <w:i/>
          <w:sz w:val="24"/>
          <w:szCs w:val="24"/>
        </w:rPr>
        <w:t>See</w:t>
      </w:r>
      <w:r w:rsidRPr="007B7E13">
        <w:rPr>
          <w:rFonts w:ascii="Times New Roman" w:hAnsi="Times New Roman" w:cs="Times New Roman"/>
          <w:bCs/>
          <w:sz w:val="24"/>
          <w:szCs w:val="24"/>
        </w:rPr>
        <w:t xml:space="preserve"> </w:t>
      </w:r>
      <w:r w:rsidRPr="007B7E13">
        <w:rPr>
          <w:rFonts w:ascii="Times New Roman" w:hAnsi="Times New Roman" w:cs="Times New Roman"/>
          <w:bCs/>
          <w:i/>
          <w:iCs/>
          <w:sz w:val="24"/>
          <w:szCs w:val="24"/>
        </w:rPr>
        <w:t>Landfill Emissions</w:t>
      </w:r>
      <w:r w:rsidRPr="007B7E13">
        <w:rPr>
          <w:rFonts w:ascii="Times New Roman" w:hAnsi="Times New Roman" w:cs="Times New Roman"/>
          <w:bCs/>
          <w:sz w:val="24"/>
          <w:szCs w:val="24"/>
        </w:rPr>
        <w:t xml:space="preserve"> </w:t>
      </w:r>
      <w:r w:rsidRPr="007B7E13">
        <w:rPr>
          <w:rFonts w:ascii="Times New Roman" w:hAnsi="Times New Roman" w:cs="Times New Roman"/>
          <w:bCs/>
          <w:i/>
          <w:sz w:val="24"/>
          <w:szCs w:val="24"/>
        </w:rPr>
        <w:t>ANPRM</w:t>
      </w:r>
      <w:r w:rsidRPr="007B7E13">
        <w:rPr>
          <w:rFonts w:ascii="Times New Roman" w:hAnsi="Times New Roman" w:cs="Times New Roman"/>
          <w:bCs/>
          <w:sz w:val="24"/>
          <w:szCs w:val="24"/>
        </w:rPr>
        <w:t xml:space="preserve">, </w:t>
      </w:r>
      <w:r w:rsidRPr="007B7E13">
        <w:rPr>
          <w:rFonts w:ascii="Times New Roman" w:hAnsi="Times New Roman" w:cs="Times New Roman"/>
          <w:bCs/>
          <w:i/>
          <w:sz w:val="24"/>
          <w:szCs w:val="24"/>
        </w:rPr>
        <w:t>supra</w:t>
      </w:r>
      <w:r w:rsidRPr="007B7E13">
        <w:rPr>
          <w:rFonts w:ascii="Times New Roman" w:hAnsi="Times New Roman" w:cs="Times New Roman"/>
          <w:bCs/>
          <w:sz w:val="24"/>
          <w:szCs w:val="24"/>
        </w:rPr>
        <w:t xml:space="preserve">, 79 Fed. Reg. at 41774/1 (referring to “methane’s potency as a GHG and its [12-year] atmospheric life”); </w:t>
      </w:r>
      <w:r w:rsidRPr="007B7E13">
        <w:rPr>
          <w:rFonts w:ascii="Times New Roman" w:hAnsi="Times New Roman" w:cs="Times New Roman"/>
          <w:bCs/>
          <w:i/>
          <w:sz w:val="24"/>
          <w:szCs w:val="24"/>
        </w:rPr>
        <w:t>see also</w:t>
      </w:r>
      <w:r w:rsidRPr="007B7E13">
        <w:rPr>
          <w:rFonts w:ascii="Times New Roman" w:hAnsi="Times New Roman" w:cs="Times New Roman"/>
          <w:bCs/>
          <w:sz w:val="24"/>
          <w:szCs w:val="24"/>
        </w:rPr>
        <w:t xml:space="preserve"> </w:t>
      </w:r>
      <w:r w:rsidRPr="007B7E13">
        <w:rPr>
          <w:rFonts w:ascii="Times New Roman" w:hAnsi="Times New Roman" w:cs="Times New Roman"/>
          <w:bCs/>
          <w:i/>
          <w:iCs/>
          <w:sz w:val="24"/>
          <w:szCs w:val="24"/>
        </w:rPr>
        <w:t xml:space="preserve">Proposed Landfill </w:t>
      </w:r>
      <w:r w:rsidRPr="007B7E13">
        <w:rPr>
          <w:rFonts w:ascii="Times New Roman" w:hAnsi="Times New Roman" w:cs="Times New Roman"/>
          <w:bCs/>
          <w:i/>
          <w:sz w:val="24"/>
          <w:szCs w:val="24"/>
        </w:rPr>
        <w:t>Emission Guidelines,</w:t>
      </w:r>
      <w:r w:rsidRPr="007B7E13">
        <w:rPr>
          <w:rFonts w:ascii="Times New Roman" w:hAnsi="Times New Roman" w:cs="Times New Roman"/>
          <w:bCs/>
          <w:sz w:val="24"/>
          <w:szCs w:val="24"/>
        </w:rPr>
        <w:t xml:space="preserve"> 80 Fed. Reg. at 52105/1 (same).</w:t>
      </w:r>
    </w:p>
  </w:footnote>
  <w:footnote w:id="10">
    <w:p w:rsidR="006277E0" w:rsidRPr="002D1885" w:rsidRDefault="008941F4" w:rsidP="003B7C76">
      <w:pPr>
        <w:pStyle w:val="FootnoteText"/>
        <w:tabs>
          <w:tab w:val="left" w:pos="360"/>
        </w:tabs>
        <w:spacing w:after="120"/>
        <w:ind w:left="360" w:hanging="360"/>
        <w:jc w:val="both"/>
        <w:rPr>
          <w:rFonts w:ascii="Times New Roman" w:hAnsi="Times New Roman" w:cs="Times New Roman"/>
          <w:sz w:val="22"/>
          <w:szCs w:val="22"/>
        </w:rPr>
      </w:pPr>
      <w:r w:rsidRPr="002D1885">
        <w:rPr>
          <w:rStyle w:val="FootnoteReference"/>
          <w:rFonts w:ascii="Times New Roman" w:hAnsi="Times New Roman" w:cs="Times New Roman"/>
          <w:sz w:val="24"/>
          <w:szCs w:val="24"/>
        </w:rPr>
        <w:footnoteRef/>
      </w:r>
      <w:r w:rsidRPr="002D1885">
        <w:rPr>
          <w:rFonts w:ascii="Times New Roman" w:hAnsi="Times New Roman" w:cs="Times New Roman"/>
          <w:sz w:val="24"/>
          <w:szCs w:val="24"/>
        </w:rPr>
        <w:tab/>
      </w:r>
      <w:r w:rsidRPr="005E2462">
        <w:rPr>
          <w:rFonts w:ascii="Times New Roman" w:hAnsi="Times New Roman" w:cs="Times New Roman"/>
          <w:bCs/>
          <w:sz w:val="24"/>
          <w:szCs w:val="24"/>
        </w:rPr>
        <w:t>GHG emissions from WTE are primarily of biogenic origin</w:t>
      </w:r>
      <w:r w:rsidRPr="005E2462">
        <w:rPr>
          <w:rFonts w:ascii="Times New Roman" w:hAnsi="Times New Roman" w:cs="Times New Roman"/>
          <w:b/>
          <w:sz w:val="24"/>
          <w:szCs w:val="24"/>
        </w:rPr>
        <w:t xml:space="preserve"> </w:t>
      </w:r>
      <w:r w:rsidRPr="005E2462">
        <w:rPr>
          <w:rFonts w:ascii="Times New Roman" w:hAnsi="Times New Roman" w:cs="Times New Roman"/>
          <w:sz w:val="24"/>
          <w:szCs w:val="24"/>
        </w:rPr>
        <w:t>(approximate</w:t>
      </w:r>
      <w:r w:rsidRPr="005E2462">
        <w:rPr>
          <w:rFonts w:ascii="Times New Roman" w:hAnsi="Times New Roman" w:cs="Times New Roman"/>
          <w:sz w:val="24"/>
          <w:szCs w:val="24"/>
        </w:rPr>
        <w:t xml:space="preserve">ly two-thirds).  </w:t>
      </w:r>
      <w:r w:rsidRPr="005E2462">
        <w:rPr>
          <w:rFonts w:ascii="Times New Roman" w:hAnsi="Times New Roman" w:cs="Times New Roman"/>
          <w:i/>
          <w:sz w:val="24"/>
          <w:szCs w:val="24"/>
        </w:rPr>
        <w:t>Better to Burn or Bury</w:t>
      </w:r>
      <w:r w:rsidRPr="005E2462">
        <w:rPr>
          <w:rFonts w:ascii="Times New Roman" w:hAnsi="Times New Roman" w:cs="Times New Roman"/>
          <w:sz w:val="24"/>
          <w:szCs w:val="24"/>
        </w:rPr>
        <w:t xml:space="preserve">, </w:t>
      </w:r>
      <w:r w:rsidRPr="005E2462">
        <w:rPr>
          <w:rFonts w:ascii="Times New Roman" w:hAnsi="Times New Roman" w:cs="Times New Roman"/>
          <w:i/>
          <w:sz w:val="24"/>
          <w:szCs w:val="24"/>
        </w:rPr>
        <w:t>supra</w:t>
      </w:r>
      <w:r w:rsidRPr="005E2462">
        <w:rPr>
          <w:rFonts w:ascii="Times New Roman" w:hAnsi="Times New Roman" w:cs="Times New Roman"/>
          <w:sz w:val="24"/>
          <w:szCs w:val="24"/>
        </w:rPr>
        <w:t>, p. 1716.  These emissions are already part of the natural carbon cycle because the biogenic carbon that comprises paper, food and other biomass in municipal waste is removed from the atmosphere as part of the</w:t>
      </w:r>
      <w:r w:rsidRPr="005E2462">
        <w:rPr>
          <w:rFonts w:ascii="Times New Roman" w:hAnsi="Times New Roman" w:cs="Times New Roman"/>
          <w:sz w:val="24"/>
          <w:szCs w:val="24"/>
        </w:rPr>
        <w:t xml:space="preserve"> plant growth-natural carbon cycle.  Also, </w:t>
      </w:r>
      <w:r w:rsidRPr="005E2462">
        <w:rPr>
          <w:rFonts w:ascii="Times New Roman" w:hAnsi="Times New Roman" w:cs="Times New Roman"/>
          <w:bCs/>
          <w:sz w:val="24"/>
          <w:szCs w:val="24"/>
        </w:rPr>
        <w:t xml:space="preserve">as EPA recognizes, processing of mixed organics by WTE and composting each have the same carbon footprint.  </w:t>
      </w:r>
      <w:r w:rsidRPr="005E2462">
        <w:rPr>
          <w:rFonts w:ascii="Times New Roman" w:hAnsi="Times New Roman" w:cs="Times New Roman"/>
          <w:bCs/>
          <w:i/>
          <w:sz w:val="24"/>
          <w:szCs w:val="24"/>
        </w:rPr>
        <w:t>See</w:t>
      </w:r>
      <w:r w:rsidRPr="005E2462">
        <w:rPr>
          <w:rFonts w:ascii="Times New Roman" w:hAnsi="Times New Roman" w:cs="Times New Roman"/>
          <w:bCs/>
          <w:sz w:val="24"/>
          <w:szCs w:val="24"/>
        </w:rPr>
        <w:t xml:space="preserve"> </w:t>
      </w:r>
      <w:r w:rsidRPr="005E2462">
        <w:rPr>
          <w:rFonts w:ascii="Times New Roman" w:hAnsi="Times New Roman" w:cs="Times New Roman"/>
          <w:bCs/>
          <w:i/>
          <w:sz w:val="24"/>
          <w:szCs w:val="24"/>
        </w:rPr>
        <w:t xml:space="preserve">Documentation for Greenhouse Gas Emission and Energy Factors Used in the Waste Reduction Model </w:t>
      </w:r>
      <w:r w:rsidRPr="005E2462">
        <w:rPr>
          <w:rFonts w:ascii="Times New Roman" w:hAnsi="Times New Roman" w:cs="Times New Roman"/>
          <w:bCs/>
          <w:sz w:val="24"/>
          <w:szCs w:val="24"/>
        </w:rPr>
        <w:t>(March</w:t>
      </w:r>
      <w:r w:rsidRPr="005E2462">
        <w:rPr>
          <w:rFonts w:ascii="Times New Roman" w:hAnsi="Times New Roman" w:cs="Times New Roman"/>
          <w:bCs/>
          <w:sz w:val="24"/>
          <w:szCs w:val="24"/>
        </w:rPr>
        <w:t xml:space="preserve"> 2015), </w:t>
      </w:r>
      <w:hyperlink r:id="rId5" w:history="1">
        <w:r w:rsidRPr="0097726D">
          <w:rPr>
            <w:rStyle w:val="Hyperlink"/>
            <w:rFonts w:ascii="Times New Roman" w:hAnsi="Times New Roman" w:cs="Times New Roman"/>
            <w:bCs/>
            <w:sz w:val="24"/>
            <w:szCs w:val="24"/>
            <w:highlight w:val="yellow"/>
          </w:rPr>
          <w:t>http://www3.epa.gov/epawaste/conserve/tools/warm/pdfs/-WARM_Documentation.pdf</w:t>
        </w:r>
      </w:hyperlink>
      <w:r w:rsidRPr="0097726D">
        <w:rPr>
          <w:rFonts w:ascii="Times New Roman" w:hAnsi="Times New Roman" w:cs="Times New Roman"/>
          <w:bCs/>
          <w:sz w:val="24"/>
          <w:szCs w:val="24"/>
          <w:highlight w:val="yellow"/>
        </w:rPr>
        <w:t>,</w:t>
      </w:r>
      <w:r w:rsidRPr="005E2462">
        <w:rPr>
          <w:rFonts w:ascii="Times New Roman" w:hAnsi="Times New Roman" w:cs="Times New Roman"/>
          <w:bCs/>
          <w:sz w:val="24"/>
          <w:szCs w:val="24"/>
        </w:rPr>
        <w:t xml:space="preserve"> Exhibit 18-10</w:t>
      </w:r>
      <w:r>
        <w:rPr>
          <w:rFonts w:ascii="Times New Roman" w:hAnsi="Times New Roman" w:cs="Times New Roman"/>
          <w:bCs/>
          <w:sz w:val="24"/>
          <w:szCs w:val="24"/>
        </w:rPr>
        <w:t xml:space="preserve"> [</w:t>
      </w:r>
      <w:r w:rsidRPr="001D4A94">
        <w:rPr>
          <w:rFonts w:ascii="Times New Roman" w:hAnsi="Times New Roman" w:cs="Times New Roman"/>
          <w:bCs/>
          <w:sz w:val="24"/>
          <w:szCs w:val="24"/>
          <w:highlight w:val="yellow"/>
        </w:rPr>
        <w:t>smd: verify citation</w:t>
      </w:r>
      <w:r>
        <w:rPr>
          <w:rFonts w:ascii="Times New Roman" w:hAnsi="Times New Roman" w:cs="Times New Roman"/>
          <w:bCs/>
          <w:sz w:val="24"/>
          <w:szCs w:val="24"/>
        </w:rPr>
        <w:t>]</w:t>
      </w:r>
      <w:r w:rsidRPr="005E2462">
        <w:rPr>
          <w:rFonts w:ascii="Times New Roman" w:hAnsi="Times New Roman" w:cs="Times New Roman"/>
          <w:bCs/>
          <w:sz w:val="24"/>
          <w:szCs w:val="24"/>
        </w:rPr>
        <w:t>.</w:t>
      </w:r>
    </w:p>
  </w:footnote>
  <w:footnote w:id="11">
    <w:p w:rsidR="005E5D26" w:rsidRPr="00EA08AE" w:rsidRDefault="008941F4" w:rsidP="007F290B">
      <w:pPr>
        <w:pStyle w:val="FootnoteText"/>
        <w:tabs>
          <w:tab w:val="left" w:pos="360"/>
        </w:tabs>
        <w:ind w:left="360" w:hanging="360"/>
        <w:jc w:val="both"/>
        <w:rPr>
          <w:rFonts w:ascii="Times New Roman" w:hAnsi="Times New Roman" w:cs="Times New Roman"/>
          <w:sz w:val="22"/>
          <w:szCs w:val="22"/>
        </w:rPr>
      </w:pPr>
      <w:r w:rsidRPr="00EA08AE">
        <w:rPr>
          <w:rStyle w:val="FootnoteReference"/>
          <w:rFonts w:ascii="Times New Roman" w:hAnsi="Times New Roman" w:cs="Times New Roman"/>
          <w:sz w:val="24"/>
          <w:szCs w:val="24"/>
        </w:rPr>
        <w:footnoteRef/>
      </w:r>
      <w:r>
        <w:rPr>
          <w:rFonts w:ascii="Times New Roman" w:hAnsi="Times New Roman" w:cs="Times New Roman"/>
          <w:sz w:val="22"/>
          <w:szCs w:val="22"/>
        </w:rPr>
        <w:tab/>
      </w:r>
      <w:r>
        <w:rPr>
          <w:rFonts w:ascii="Times New Roman" w:hAnsi="Times New Roman" w:cs="Times New Roman"/>
          <w:sz w:val="22"/>
          <w:szCs w:val="22"/>
        </w:rPr>
        <w:t>D</w:t>
      </w:r>
      <w:r w:rsidRPr="003C121E">
        <w:rPr>
          <w:rFonts w:ascii="Times New Roman" w:hAnsi="Times New Roman" w:cs="Times New Roman"/>
          <w:sz w:val="24"/>
          <w:szCs w:val="24"/>
        </w:rPr>
        <w:t xml:space="preserve">ata for a broad spectrum of European nations shows </w:t>
      </w:r>
      <w:r w:rsidRPr="003C121E">
        <w:rPr>
          <w:rFonts w:ascii="Times New Roman" w:hAnsi="Times New Roman" w:cs="Times New Roman"/>
          <w:sz w:val="24"/>
          <w:szCs w:val="24"/>
        </w:rPr>
        <w:t xml:space="preserve">that the countries with the highest recycling rates also have the </w:t>
      </w:r>
      <w:r>
        <w:rPr>
          <w:rFonts w:ascii="Times New Roman" w:hAnsi="Times New Roman" w:cs="Times New Roman"/>
          <w:sz w:val="24"/>
          <w:szCs w:val="24"/>
        </w:rPr>
        <w:t>greatest</w:t>
      </w:r>
      <w:r w:rsidRPr="003C121E">
        <w:rPr>
          <w:rFonts w:ascii="Times New Roman" w:hAnsi="Times New Roman" w:cs="Times New Roman"/>
          <w:sz w:val="24"/>
          <w:szCs w:val="24"/>
        </w:rPr>
        <w:t xml:space="preserve"> reliance on WTE.  </w:t>
      </w:r>
      <w:r w:rsidRPr="005E5D26">
        <w:rPr>
          <w:rFonts w:ascii="Times New Roman" w:hAnsi="Times New Roman" w:cs="Times New Roman"/>
          <w:i/>
          <w:sz w:val="24"/>
          <w:szCs w:val="24"/>
        </w:rPr>
        <w:t>See</w:t>
      </w:r>
      <w:r>
        <w:rPr>
          <w:rFonts w:ascii="Times New Roman" w:hAnsi="Times New Roman" w:cs="Times New Roman"/>
          <w:sz w:val="24"/>
          <w:szCs w:val="24"/>
        </w:rPr>
        <w:t xml:space="preserve"> </w:t>
      </w:r>
      <w:hyperlink r:id="rId6" w:history="1">
        <w:r w:rsidRPr="0097726D">
          <w:rPr>
            <w:rStyle w:val="Hyperlink"/>
            <w:rFonts w:ascii="Times New Roman" w:hAnsi="Times New Roman" w:cs="Times New Roman"/>
            <w:sz w:val="24"/>
            <w:szCs w:val="24"/>
            <w:highlight w:val="yellow"/>
          </w:rPr>
          <w:t>http://www.cewep.eu/wp-content/uploads/2019/04/EUROSTAT-MW-data-2017.pdf</w:t>
        </w:r>
      </w:hyperlink>
      <w:r>
        <w:rPr>
          <w:rFonts w:ascii="Times New Roman" w:hAnsi="Times New Roman" w:cs="Times New Roman"/>
          <w:sz w:val="24"/>
          <w:szCs w:val="24"/>
        </w:rPr>
        <w:t>.  For example, Denmark recycles 46% percent of its municipal waste, processes 53% using WTE, a</w:t>
      </w:r>
      <w:r>
        <w:rPr>
          <w:rFonts w:ascii="Times New Roman" w:hAnsi="Times New Roman" w:cs="Times New Roman"/>
          <w:sz w:val="24"/>
          <w:szCs w:val="24"/>
        </w:rPr>
        <w:t>nd landfills only about 1%</w:t>
      </w:r>
      <w:r>
        <w:rPr>
          <w:rFonts w:ascii="Times New Roman" w:hAnsi="Times New Roman" w:cs="Times New Roman"/>
          <w:sz w:val="24"/>
          <w:szCs w:val="24"/>
        </w:rPr>
        <w:t>; Germany recycles 68%, uses WTE for 31% and landfills only 1%; similarly, Sweden recycles 47% of its MSW, directs 53% to WTE, and landfills 1%</w:t>
      </w:r>
      <w:r>
        <w:rPr>
          <w:rFonts w:ascii="Times New Roman" w:hAnsi="Times New Roman" w:cs="Times New Roman"/>
          <w:sz w:val="24"/>
          <w:szCs w:val="24"/>
        </w:rPr>
        <w:t>.</w:t>
      </w:r>
      <w:r>
        <w:rPr>
          <w:rFonts w:ascii="Times New Roman" w:hAnsi="Times New Roman" w:cs="Times New Roman"/>
          <w:sz w:val="24"/>
          <w:szCs w:val="24"/>
        </w:rPr>
        <w:t xml:space="preserve">  </w:t>
      </w:r>
      <w:r w:rsidRPr="00DD4D5B">
        <w:rPr>
          <w:rFonts w:ascii="Times New Roman" w:hAnsi="Times New Roman" w:cs="Times New Roman"/>
          <w:i/>
          <w:sz w:val="24"/>
          <w:szCs w:val="24"/>
        </w:rPr>
        <w:t>See also</w:t>
      </w:r>
      <w:r>
        <w:rPr>
          <w:rFonts w:ascii="Times New Roman" w:hAnsi="Times New Roman" w:cs="Times New Roman"/>
          <w:sz w:val="24"/>
          <w:szCs w:val="24"/>
        </w:rPr>
        <w:t xml:space="preserve"> </w:t>
      </w:r>
      <w:r w:rsidRPr="007F290B">
        <w:rPr>
          <w:rFonts w:ascii="Times New Roman" w:hAnsi="Times New Roman" w:cs="Times New Roman"/>
          <w:bCs/>
          <w:i/>
          <w:sz w:val="24"/>
          <w:szCs w:val="24"/>
        </w:rPr>
        <w:t xml:space="preserve">Europe Finds Clean Energy in Trash, </w:t>
      </w:r>
      <w:r>
        <w:rPr>
          <w:rFonts w:ascii="Times New Roman" w:hAnsi="Times New Roman" w:cs="Times New Roman"/>
          <w:bCs/>
          <w:i/>
          <w:sz w:val="24"/>
          <w:szCs w:val="24"/>
        </w:rPr>
        <w:t>infra</w:t>
      </w:r>
      <w:r>
        <w:rPr>
          <w:rFonts w:ascii="Times New Roman" w:hAnsi="Times New Roman" w:cs="Times New Roman"/>
          <w:bCs/>
          <w:sz w:val="24"/>
          <w:szCs w:val="24"/>
        </w:rPr>
        <w:t xml:space="preserve">, </w:t>
      </w:r>
      <w:r w:rsidRPr="007F290B">
        <w:rPr>
          <w:rFonts w:ascii="Times New Roman" w:hAnsi="Times New Roman" w:cs="Times New Roman"/>
          <w:bCs/>
          <w:i/>
          <w:sz w:val="24"/>
          <w:szCs w:val="24"/>
        </w:rPr>
        <w:t xml:space="preserve">The </w:t>
      </w:r>
      <w:r w:rsidRPr="007F290B">
        <w:rPr>
          <w:rFonts w:ascii="Times New Roman" w:hAnsi="Times New Roman" w:cs="Times New Roman"/>
          <w:i/>
          <w:sz w:val="24"/>
          <w:szCs w:val="24"/>
        </w:rPr>
        <w:t>New York Times</w:t>
      </w:r>
      <w:r w:rsidRPr="007F290B">
        <w:rPr>
          <w:rFonts w:ascii="Times New Roman" w:hAnsi="Times New Roman" w:cs="Times New Roman"/>
          <w:sz w:val="24"/>
          <w:szCs w:val="24"/>
        </w:rPr>
        <w:t>, April 12, 20</w:t>
      </w:r>
      <w:r w:rsidRPr="007F290B">
        <w:rPr>
          <w:rFonts w:ascii="Times New Roman" w:hAnsi="Times New Roman" w:cs="Times New Roman"/>
          <w:sz w:val="24"/>
          <w:szCs w:val="24"/>
        </w:rPr>
        <w:t xml:space="preserve">10, </w:t>
      </w:r>
      <w:r>
        <w:rPr>
          <w:rFonts w:ascii="Times New Roman" w:hAnsi="Times New Roman" w:cs="Times New Roman"/>
          <w:bCs/>
          <w:sz w:val="24"/>
          <w:szCs w:val="24"/>
        </w:rPr>
        <w:t xml:space="preserve">p. </w:t>
      </w:r>
      <w:r w:rsidRPr="001B0177">
        <w:rPr>
          <w:rFonts w:ascii="Times New Roman" w:hAnsi="Times New Roman" w:cs="Times New Roman"/>
          <w:bCs/>
          <w:sz w:val="24"/>
          <w:szCs w:val="24"/>
          <w:highlight w:val="yellow"/>
        </w:rPr>
        <w:t>__</w:t>
      </w:r>
      <w:r>
        <w:rPr>
          <w:rFonts w:ascii="Times New Roman" w:hAnsi="Times New Roman" w:cs="Times New Roman"/>
          <w:bCs/>
          <w:sz w:val="24"/>
          <w:szCs w:val="24"/>
        </w:rPr>
        <w:t xml:space="preserve"> (“Many </w:t>
      </w:r>
      <w:r>
        <w:rPr>
          <w:rFonts w:ascii="Times New Roman" w:hAnsi="Times New Roman" w:cs="Times New Roman"/>
          <w:bCs/>
          <w:sz w:val="24"/>
          <w:szCs w:val="24"/>
        </w:rPr>
        <w:t>countries that are expanding waste-to-energy capacity, like Denmark and Germany, typically also have the highest recycling rates”).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6B6E32"/>
    <w:multiLevelType w:val="hybridMultilevel"/>
    <w:tmpl w:val="82C2BD22"/>
    <w:lvl w:ilvl="0" w:tplc="6EDC58DC">
      <w:start w:val="1"/>
      <w:numFmt w:val="decimal"/>
      <w:lvlText w:val="%1."/>
      <w:lvlJc w:val="left"/>
      <w:pPr>
        <w:ind w:left="720" w:hanging="360"/>
      </w:pPr>
    </w:lvl>
    <w:lvl w:ilvl="1" w:tplc="78A6E5DA" w:tentative="1">
      <w:start w:val="1"/>
      <w:numFmt w:val="lowerLetter"/>
      <w:lvlText w:val="%2."/>
      <w:lvlJc w:val="left"/>
      <w:pPr>
        <w:ind w:left="1440" w:hanging="360"/>
      </w:pPr>
    </w:lvl>
    <w:lvl w:ilvl="2" w:tplc="715AF650" w:tentative="1">
      <w:start w:val="1"/>
      <w:numFmt w:val="lowerRoman"/>
      <w:lvlText w:val="%3."/>
      <w:lvlJc w:val="right"/>
      <w:pPr>
        <w:ind w:left="2160" w:hanging="180"/>
      </w:pPr>
    </w:lvl>
    <w:lvl w:ilvl="3" w:tplc="26E4553C" w:tentative="1">
      <w:start w:val="1"/>
      <w:numFmt w:val="decimal"/>
      <w:lvlText w:val="%4."/>
      <w:lvlJc w:val="left"/>
      <w:pPr>
        <w:ind w:left="2880" w:hanging="360"/>
      </w:pPr>
    </w:lvl>
    <w:lvl w:ilvl="4" w:tplc="5BEE12D8" w:tentative="1">
      <w:start w:val="1"/>
      <w:numFmt w:val="lowerLetter"/>
      <w:lvlText w:val="%5."/>
      <w:lvlJc w:val="left"/>
      <w:pPr>
        <w:ind w:left="3600" w:hanging="360"/>
      </w:pPr>
    </w:lvl>
    <w:lvl w:ilvl="5" w:tplc="53DECD66" w:tentative="1">
      <w:start w:val="1"/>
      <w:numFmt w:val="lowerRoman"/>
      <w:lvlText w:val="%6."/>
      <w:lvlJc w:val="right"/>
      <w:pPr>
        <w:ind w:left="4320" w:hanging="180"/>
      </w:pPr>
    </w:lvl>
    <w:lvl w:ilvl="6" w:tplc="5944F898" w:tentative="1">
      <w:start w:val="1"/>
      <w:numFmt w:val="decimal"/>
      <w:lvlText w:val="%7."/>
      <w:lvlJc w:val="left"/>
      <w:pPr>
        <w:ind w:left="5040" w:hanging="360"/>
      </w:pPr>
    </w:lvl>
    <w:lvl w:ilvl="7" w:tplc="751AD534" w:tentative="1">
      <w:start w:val="1"/>
      <w:numFmt w:val="lowerLetter"/>
      <w:lvlText w:val="%8."/>
      <w:lvlJc w:val="left"/>
      <w:pPr>
        <w:ind w:left="5760" w:hanging="360"/>
      </w:pPr>
    </w:lvl>
    <w:lvl w:ilvl="8" w:tplc="D5E2C8A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88B"/>
    <w:rsid w:val="007F488B"/>
    <w:rsid w:val="008941F4"/>
    <w:rsid w:val="00A8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9048C-DFB0-41FE-9660-547D41BC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4D8B"/>
    <w:pPr>
      <w:tabs>
        <w:tab w:val="center" w:pos="4680"/>
        <w:tab w:val="right" w:pos="9360"/>
      </w:tabs>
    </w:pPr>
  </w:style>
  <w:style w:type="character" w:customStyle="1" w:styleId="HeaderChar">
    <w:name w:val="Header Char"/>
    <w:basedOn w:val="DefaultParagraphFont"/>
    <w:link w:val="Header"/>
    <w:uiPriority w:val="99"/>
    <w:rsid w:val="00454D8B"/>
  </w:style>
  <w:style w:type="paragraph" w:styleId="Footer">
    <w:name w:val="footer"/>
    <w:basedOn w:val="Normal"/>
    <w:link w:val="FooterChar"/>
    <w:uiPriority w:val="99"/>
    <w:unhideWhenUsed/>
    <w:rsid w:val="00454D8B"/>
    <w:pPr>
      <w:tabs>
        <w:tab w:val="center" w:pos="4680"/>
        <w:tab w:val="right" w:pos="9360"/>
      </w:tabs>
    </w:pPr>
  </w:style>
  <w:style w:type="character" w:customStyle="1" w:styleId="FooterChar">
    <w:name w:val="Footer Char"/>
    <w:basedOn w:val="DefaultParagraphFont"/>
    <w:link w:val="Footer"/>
    <w:uiPriority w:val="99"/>
    <w:rsid w:val="00454D8B"/>
  </w:style>
  <w:style w:type="character" w:styleId="PlaceholderText">
    <w:name w:val="Placeholder Text"/>
    <w:basedOn w:val="DefaultParagraphFont"/>
    <w:uiPriority w:val="99"/>
    <w:semiHidden/>
    <w:rsid w:val="00541EDB"/>
    <w:rPr>
      <w:color w:val="808080"/>
    </w:rPr>
  </w:style>
  <w:style w:type="paragraph" w:styleId="FootnoteText">
    <w:name w:val="footnote text"/>
    <w:basedOn w:val="Normal"/>
    <w:link w:val="FootnoteTextChar"/>
    <w:uiPriority w:val="99"/>
    <w:unhideWhenUsed/>
    <w:rsid w:val="00F42E4E"/>
    <w:rPr>
      <w:rFonts w:asciiTheme="minorHAnsi" w:hAnsiTheme="minorHAnsi"/>
      <w:sz w:val="20"/>
      <w:szCs w:val="20"/>
    </w:rPr>
  </w:style>
  <w:style w:type="character" w:customStyle="1" w:styleId="FootnoteTextChar">
    <w:name w:val="Footnote Text Char"/>
    <w:basedOn w:val="DefaultParagraphFont"/>
    <w:link w:val="FootnoteText"/>
    <w:uiPriority w:val="99"/>
    <w:rsid w:val="00F42E4E"/>
    <w:rPr>
      <w:rFonts w:asciiTheme="minorHAnsi" w:hAnsiTheme="minorHAnsi"/>
      <w:sz w:val="20"/>
      <w:szCs w:val="20"/>
    </w:rPr>
  </w:style>
  <w:style w:type="character" w:styleId="FootnoteReference">
    <w:name w:val="footnote reference"/>
    <w:basedOn w:val="DefaultParagraphFont"/>
    <w:uiPriority w:val="99"/>
    <w:semiHidden/>
    <w:unhideWhenUsed/>
    <w:rsid w:val="00F42E4E"/>
    <w:rPr>
      <w:vertAlign w:val="superscript"/>
    </w:rPr>
  </w:style>
  <w:style w:type="character" w:styleId="Hyperlink">
    <w:name w:val="Hyperlink"/>
    <w:basedOn w:val="DefaultParagraphFont"/>
    <w:uiPriority w:val="99"/>
    <w:unhideWhenUsed/>
    <w:rsid w:val="00F42E4E"/>
    <w:rPr>
      <w:color w:val="0563C1" w:themeColor="hyperlink"/>
      <w:u w:val="single"/>
    </w:rPr>
  </w:style>
  <w:style w:type="table" w:styleId="TableGrid">
    <w:name w:val="Table Grid"/>
    <w:basedOn w:val="TableNormal"/>
    <w:uiPriority w:val="39"/>
    <w:rsid w:val="00F42E4E"/>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133DB4"/>
    <w:pPr>
      <w:ind w:left="240" w:hanging="240"/>
    </w:pPr>
  </w:style>
  <w:style w:type="paragraph" w:styleId="TOAHeading">
    <w:name w:val="toa heading"/>
    <w:basedOn w:val="Normal"/>
    <w:next w:val="Normal"/>
    <w:uiPriority w:val="99"/>
    <w:semiHidden/>
    <w:unhideWhenUsed/>
    <w:rsid w:val="00133DB4"/>
    <w:pPr>
      <w:spacing w:before="120"/>
    </w:pPr>
    <w:rPr>
      <w:rFonts w:asciiTheme="majorHAnsi" w:eastAsiaTheme="majorEastAsia" w:hAnsiTheme="majorHAnsi" w:cstheme="majorBidi"/>
      <w:b/>
      <w:bCs/>
      <w:szCs w:val="24"/>
    </w:rPr>
  </w:style>
  <w:style w:type="paragraph" w:styleId="NormalWeb">
    <w:name w:val="Normal (Web)"/>
    <w:basedOn w:val="Normal"/>
    <w:uiPriority w:val="99"/>
    <w:semiHidden/>
    <w:unhideWhenUsed/>
    <w:rsid w:val="00326705"/>
    <w:pPr>
      <w:spacing w:before="100" w:beforeAutospacing="1" w:after="100" w:afterAutospacing="1"/>
    </w:pPr>
    <w:rPr>
      <w:rFonts w:eastAsia="Times New Roman" w:cs="Times New Roman"/>
      <w:szCs w:val="24"/>
    </w:rPr>
  </w:style>
  <w:style w:type="character" w:styleId="PageNumber">
    <w:name w:val="page number"/>
    <w:basedOn w:val="DefaultParagraphFont"/>
    <w:rsid w:val="00404F94"/>
  </w:style>
  <w:style w:type="character" w:styleId="FollowedHyperlink">
    <w:name w:val="FollowedHyperlink"/>
    <w:basedOn w:val="DefaultParagraphFont"/>
    <w:uiPriority w:val="99"/>
    <w:semiHidden/>
    <w:unhideWhenUsed/>
    <w:rsid w:val="004E1FC0"/>
    <w:rPr>
      <w:color w:val="954F72" w:themeColor="followedHyperlink"/>
      <w:u w:val="single"/>
    </w:rPr>
  </w:style>
  <w:style w:type="paragraph" w:styleId="BalloonText">
    <w:name w:val="Balloon Text"/>
    <w:basedOn w:val="Normal"/>
    <w:link w:val="BalloonTextChar"/>
    <w:uiPriority w:val="99"/>
    <w:semiHidden/>
    <w:unhideWhenUsed/>
    <w:rsid w:val="008925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5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egulations.gov/" TargetMode="External"/><Relationship Id="rId18" Type="http://schemas.openxmlformats.org/officeDocument/2006/relationships/hyperlink" Target="http://www.ipcc.ch/pdf/assessment-report/ar4/wg3/ar4-wg3-chapter10.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nergyrecoverycouncil.org/wp-content/uploads/2016/03/ERC-2014-Berenyi-recycling-study.pdf" TargetMode="External"/><Relationship Id="rId7" Type="http://schemas.openxmlformats.org/officeDocument/2006/relationships/endnotes" Target="endnotes.xml"/><Relationship Id="rId12" Type="http://schemas.openxmlformats.org/officeDocument/2006/relationships/hyperlink" Target="https://www.wtienergy.com/sites/default/files/ERC2009_GreenInvesting_Jan_Davos_report.pdf" TargetMode="External"/><Relationship Id="rId17" Type="http://schemas.openxmlformats.org/officeDocument/2006/relationships/hyperlink" Target="http://www.wasatchintegrated.org/wp-content/uploads/2016/07/Waste_To_Energy-A_Review_of_the_Status_and_Benefits_in_the_USA.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as.columbia.edu/earth/EEC-SIPA-report-NYC-Dec11.pdf" TargetMode="External"/><Relationship Id="rId20" Type="http://schemas.openxmlformats.org/officeDocument/2006/relationships/hyperlink" Target="http://apps.unep.org/redirect.php?file=/publications/pmtdocuments/-Bridging%20the%20Emissions%20Gap_%20%20%20A%20UNEP%20Synthesis%20Report-2011107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ergyrecoverycouncil.org/wp-content/uploads/2016/07/030214-EPA-letter.pdf"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pubs.acs.org/doi/pdf/10.1021/es802395e" TargetMode="External"/><Relationship Id="rId23" Type="http://schemas.openxmlformats.org/officeDocument/2006/relationships/footer" Target="footer4.xml"/><Relationship Id="rId10" Type="http://schemas.openxmlformats.org/officeDocument/2006/relationships/footer" Target="footer3.xml"/><Relationship Id="rId19" Type="http://schemas.openxmlformats.org/officeDocument/2006/relationships/hyperlink" Target="https://cdm.unfccc.int/UserManagement/FileStorage/9WVIN7Z06A8UGLFPO4Y51BDMJ23QX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nrel.gov/docs/fy13osti/52829.pdf" TargetMode="External"/><Relationship Id="rId22" Type="http://schemas.openxmlformats.org/officeDocument/2006/relationships/hyperlink" Target="https://cdn.americanprogress.org/wp-content/uploads/2013/04/EnergyFromWaste-PDF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rchive.epa.gov/epawaste/nonhaz/municipal/web/html/airem.html" TargetMode="External"/><Relationship Id="rId2" Type="http://schemas.openxmlformats.org/officeDocument/2006/relationships/hyperlink" Target="https://nepis.epa.gov/Exe/ZyNET.exe/94X00EFE.TXT?ZyActionD=ZyDocument&amp;Client=EPA&amp;Index=1986+Thru+1990&amp;Docs=&amp;Query=&amp;Time=&amp;EndTime=&amp;SearchMethod=1&amp;TocRestrict=n&amp;Toc=&amp;TocEntry=&amp;QField=&amp;QFieldYear=&amp;QFieldMonth=&amp;QFieldDay=&amp;IntQFieldOp=0&amp;ExtQFieldOp=0&amp;XmlQuery=&amp;File=D%3A%5Czyfiles%5CIndex%20Data%5C86thru90%5CTxt%5C00000035%5C94X00EFE.txt&amp;User=ANONYMOUS&amp;Password=anonymous&amp;SortMethod=h%7C-&amp;MaximumDocuments=1&amp;FuzzyDegree=0&amp;ImageQuality=r75g8/r75g8/x150y150g16/i425&amp;Display=hpfr&amp;DefSeekPage=x&amp;SearchBack=ZyActionL&amp;Back=ZyActionS&amp;BackDesc=Results%20page&amp;MaximumPages=1&amp;ZyEntry=1&amp;SeekPage=x&amp;ZyPURL" TargetMode="External"/><Relationship Id="rId1" Type="http://schemas.openxmlformats.org/officeDocument/2006/relationships/hyperlink" Target="https://www.weforum.org/about/world-economic-forum" TargetMode="External"/><Relationship Id="rId6" Type="http://schemas.openxmlformats.org/officeDocument/2006/relationships/hyperlink" Target="http://www.cewep.eu/wp-content/uploads/2019/04/EUROSTAT-MW-data-2017.pdf" TargetMode="External"/><Relationship Id="rId5" Type="http://schemas.openxmlformats.org/officeDocument/2006/relationships/hyperlink" Target="http://www3.epa.gov/epawaste/conserve/tools/warm/pdfs/WARM_Documentation.pdf" TargetMode="External"/><Relationship Id="rId4" Type="http://schemas.openxmlformats.org/officeDocument/2006/relationships/hyperlink" Target="https://www.ipcc.ch/report/ar5/sy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D03FB-C4D2-4B44-A276-5B695A08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Comlan Alawoe</dc:creator>
  <cp:lastModifiedBy>comlan alawoe</cp:lastModifiedBy>
  <cp:revision>2</cp:revision>
  <dcterms:created xsi:type="dcterms:W3CDTF">2019-08-29T18:10:00Z</dcterms:created>
  <dcterms:modified xsi:type="dcterms:W3CDTF">2019-08-29T18:10:00Z</dcterms:modified>
</cp:coreProperties>
</file>